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《齐鲁银行信用卡场景分期业务合约》</w:t>
      </w:r>
      <w:r>
        <w:rPr>
          <w:rFonts w:hint="eastAsia" w:asciiTheme="minorEastAsia" w:hAnsiTheme="minorEastAsia" w:eastAsiaTheme="minorEastAsia" w:cstheme="minorEastAsia"/>
          <w:b/>
          <w:szCs w:val="21"/>
          <w:lang w:eastAsia="zh-CN"/>
        </w:rPr>
        <w:t>（第六版）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齐鲁银行股份有限公司（以下简称“甲方”）</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齐鲁银行信用卡场景分期业务申请人（以下简称“乙方”）</w:t>
      </w:r>
    </w:p>
    <w:p>
      <w:pPr>
        <w:spacing w:line="360" w:lineRule="auto"/>
        <w:rPr>
          <w:rFonts w:asciiTheme="minorEastAsia" w:hAnsiTheme="minorEastAsia" w:eastAsiaTheme="minorEastAsia" w:cstheme="minorEastAsia"/>
          <w:szCs w:val="21"/>
        </w:rPr>
      </w:pPr>
    </w:p>
    <w:p>
      <w:pPr>
        <w:pStyle w:val="18"/>
        <w:numPr>
          <w:ilvl w:val="0"/>
          <w:numId w:val="1"/>
        </w:numPr>
        <w:spacing w:line="360" w:lineRule="auto"/>
        <w:ind w:firstLineChars="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公共条款（适用于所有场景分期业务）</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（一）申请</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向甲方申请办理齐鲁银行信用卡场景分期业务，用于支付乙方购买甲方指定场景下的产品或服务所需支付的全部或部分款项，指定场景包括购买汽车、装修、教育、医疗、美容、婚庆、保险、旅游、家具、电器等合法商品或服务的消费场景。</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b/>
          <w:sz w:val="21"/>
          <w:szCs w:val="21"/>
        </w:rPr>
        <w:t>乙方有义务配合甲方的调查，并按甲方要求及时提供相关检附资料，包括但不限于身份证明、工作证明、收入证明（银行工资流水、个人社保或公积金缴纳证明等）、产品或服务的购买协议、首付款收据（发票）、房产证明文件等，否则，由此造成的损失由乙方承担。甲方有权对乙方资格进行审核并不归还乙方所提交的审核资料。</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3</w:t>
      </w:r>
      <w:r>
        <w:rPr>
          <w:rFonts w:hint="eastAsia" w:asciiTheme="minorEastAsia" w:hAnsiTheme="minorEastAsia" w:eastAsiaTheme="minorEastAsia" w:cstheme="minorEastAsia"/>
          <w:b/>
          <w:szCs w:val="21"/>
        </w:rPr>
        <w:t>.乙方同意齐鲁银行或任何齐鲁银行附属机构（包括齐鲁银行分支机构等），根据相关监管要求以及中国与境外国家（地区）签订的信息交换政府间协议，向国内监管机构提供个人资料。乙方理解其他国家（地区）的税收居民需提供相应涉税信息。如乙方的税收居民身份信息发生变更，乙方保证会在 30 日内通知甲方,否则乙方将承担由此造成的不利后果。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lang w:val="en-US" w:eastAsia="zh-CN"/>
        </w:rPr>
        <w:t>4</w:t>
      </w:r>
      <w:r>
        <w:rPr>
          <w:rFonts w:hint="eastAsia" w:asciiTheme="minorEastAsia" w:hAnsiTheme="minorEastAsia" w:eastAsiaTheme="minorEastAsia" w:cstheme="minorEastAsia"/>
          <w:b/>
          <w:szCs w:val="21"/>
        </w:rPr>
        <w:t>.乙方知晓并同意：申请场景分期业务通过与否及场景分期业务分期总金额以甲方的最终审核结果为准。</w:t>
      </w:r>
      <w:r>
        <w:rPr>
          <w:rFonts w:hint="eastAsia" w:asciiTheme="minorEastAsia" w:hAnsiTheme="minorEastAsia" w:eastAsiaTheme="minorEastAsia" w:cstheme="minorEastAsia"/>
          <w:szCs w:val="21"/>
        </w:rPr>
        <w:t>甲方对乙方的场景分期业务申请审核结束后，将通过电子（含手机银行、电子邮件、短信等）、纸质、口头等方式之一及时将审核结果通知乙方。如甲方审核通过了乙方的场景分期业务申请，甲方会将乙方的场景分期业务基本订单信息（包括但不限于分期总金额、分期期数、乙方分期利息等）通过短信等方式及时通知乙方。</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（二）使用、对账和还款</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5</w:t>
      </w:r>
      <w:r>
        <w:rPr>
          <w:rFonts w:hint="eastAsia" w:asciiTheme="minorEastAsia" w:hAnsiTheme="minorEastAsia" w:eastAsiaTheme="minorEastAsia" w:cstheme="minorEastAsia"/>
          <w:b/>
          <w:szCs w:val="21"/>
        </w:rPr>
        <w:t>.甲方代乙方向供应商垫付的款项总金额或乙方持甲方为其核批的专项额度信用卡刷卡消费的总金额（即“分期总金额”，又称“场景分期本金”）、乙方应向齐鲁银行支付的场景分期业务分期利息总额形成乙方欠甲方的场景分期债务。一旦乙方成功申请场景分期业务，即使乙方信用卡未开通或存在信用卡不能正常使用等情况，乙方同意并授权甲方产生场景分期业务对账单及场景分期业务的相关款项、利息等，并且乙方承诺在免息还款期内偿还当期已出账单的全部款项，乙方同意甲方有权处理、转让其所拥有的针对乙方的债权，无须征得乙方的另行同意或对乙方进行通知。</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.乙方未收到场景分期业务对账单时应主动查询，若在到期还款日前乙方未向甲方提出异议，则视同乙方已认可全部交易。乙方同意按照甲方</w:t>
      </w:r>
      <w:r>
        <w:rPr>
          <w:rFonts w:hint="eastAsia" w:asciiTheme="minorEastAsia" w:hAnsiTheme="minorEastAsia" w:eastAsiaTheme="minorEastAsia" w:cstheme="minorEastAsia"/>
          <w:color w:val="000000"/>
          <w:szCs w:val="21"/>
        </w:rPr>
        <w:t>场景分期业务</w:t>
      </w:r>
      <w:r>
        <w:rPr>
          <w:rFonts w:hint="eastAsia" w:asciiTheme="minorEastAsia" w:hAnsiTheme="minorEastAsia" w:eastAsiaTheme="minorEastAsia" w:cstheme="minorEastAsia"/>
          <w:szCs w:val="21"/>
        </w:rPr>
        <w:t>对账单所显示金额、还款期限等按期向甲方归还场景分期债务。若乙方主动提前还款或因乙方原因</w:t>
      </w:r>
      <w:r>
        <w:rPr>
          <w:rFonts w:hint="eastAsia" w:asciiTheme="minorEastAsia" w:hAnsiTheme="minorEastAsia" w:eastAsiaTheme="minorEastAsia" w:cstheme="minorEastAsia"/>
          <w:szCs w:val="21"/>
          <w:lang w:eastAsia="zh-CN"/>
        </w:rPr>
        <w:t>（详见本合约第</w:t>
      </w:r>
      <w:r>
        <w:rPr>
          <w:rFonts w:hint="eastAsia" w:asciiTheme="minorEastAsia" w:hAnsiTheme="minorEastAsia" w:eastAsiaTheme="minorEastAsia" w:cstheme="minorEastAsia"/>
          <w:szCs w:val="21"/>
          <w:lang w:val="en-US" w:eastAsia="zh-CN"/>
        </w:rPr>
        <w:t>9项内容</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导致甲方要求乙方提前归还场景分期债务，</w:t>
      </w:r>
      <w:r>
        <w:rPr>
          <w:rFonts w:hint="eastAsia" w:asciiTheme="minorEastAsia" w:hAnsiTheme="minorEastAsia" w:eastAsiaTheme="minorEastAsia" w:cstheme="minorEastAsia"/>
          <w:b/>
          <w:szCs w:val="21"/>
        </w:rPr>
        <w:t>甲方有权宣布乙方已成功办理的场景分期业务中尚未偿还的场景分期债务（包含但不限于剩余场景分期本金等，以下又称“剩余分期债务”）部分或全部提前到期，并有权要求乙方提前一次性清偿，乙方应当提前一次性清偿甲方宣布提前到期的剩余分期债务，甲方已收取的分期利息不予退还且将按甲方宣布提前到期的剩余分期债务中的未偿本金的3%向乙方收取提前结清违约金。乙方支付的提前结清违约金最低为0元，最高不超过分期交易全部剩余分期利息。如上述提前结清违约金不足以弥补甲方损失的，甲方有权追索差额部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lang w:val="en-US" w:eastAsia="zh-CN"/>
        </w:rPr>
        <w:t>7</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乙方的当期场景分期交易自记账日至到期还款日（含）为免息还款期。在免息还款期内，乙方应按照甲方场景分期业务对账单所显示的金额按期全额归还场景分期债务。否则，自甲方记账日起按甲方核给的对应期间的日利率计收利息至清偿日止，甲方按月计收复利，且</w:t>
      </w:r>
      <w:r>
        <w:rPr>
          <w:rFonts w:hint="eastAsia" w:asciiTheme="minorEastAsia" w:hAnsiTheme="minorEastAsia" w:eastAsiaTheme="minorEastAsia" w:cstheme="minorEastAsia"/>
          <w:b/>
          <w:bCs/>
          <w:szCs w:val="21"/>
        </w:rPr>
        <w:t>乙方还应按照未还金额的百分之五向甲方支付违约金，最低为</w:t>
      </w:r>
      <w:r>
        <w:rPr>
          <w:rFonts w:asciiTheme="minorEastAsia" w:hAnsiTheme="minorEastAsia" w:eastAsiaTheme="minorEastAsia" w:cstheme="minorEastAsia"/>
          <w:b/>
          <w:bCs/>
          <w:szCs w:val="21"/>
        </w:rPr>
        <w:t>5</w:t>
      </w:r>
      <w:r>
        <w:rPr>
          <w:rFonts w:hint="eastAsia" w:asciiTheme="minorEastAsia" w:hAnsiTheme="minorEastAsia" w:eastAsiaTheme="minorEastAsia" w:cstheme="minorEastAsia"/>
          <w:b/>
          <w:bCs/>
          <w:szCs w:val="21"/>
        </w:rPr>
        <w:t>元人民币。</w:t>
      </w:r>
      <w:r>
        <w:rPr>
          <w:rFonts w:hint="eastAsia" w:asciiTheme="minorEastAsia" w:hAnsiTheme="minorEastAsia" w:eastAsiaTheme="minorEastAsia" w:cstheme="minorEastAsia"/>
          <w:b/>
          <w:szCs w:val="21"/>
        </w:rPr>
        <w:t>如有变动按中国人民银行的有关规定执行。</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.乙方应在场景分期业务还款期间保持良好的信用记录，并保证将甲方向乙方提供的场景分期业务额度仅用于乙方申请该额度时所确定的用途。如因乙方原因导致抵押登记失败或发生下述任一情形，则</w:t>
      </w:r>
      <w:r>
        <w:rPr>
          <w:rFonts w:hint="eastAsia" w:asciiTheme="minorEastAsia" w:hAnsiTheme="minorEastAsia" w:eastAsiaTheme="minorEastAsia" w:cstheme="minorEastAsia"/>
          <w:b/>
          <w:szCs w:val="21"/>
        </w:rPr>
        <w:t>甲方有权宣布乙方的剩余分期债务部分或全部提前到期，并有权要求乙方提前一次性清偿，乙方应当提前一次性清偿甲方宣布提前到期的剩余分期债务，甲方已收取的分期利息不予退还且将按甲方宣布提前到期的剩余分期债务中的未偿本金的3%向乙方收取提前结清违约金。乙方支付的提前结清违约金最低为0元，最高不超过分期交易全部剩余分期利息。如上述提前结清违约金足以弥补甲方损失的，甲方有权追索差额部分</w:t>
      </w:r>
      <w:r>
        <w:rPr>
          <w:rFonts w:hint="eastAsia" w:asciiTheme="minorEastAsia" w:hAnsiTheme="minorEastAsia" w:eastAsiaTheme="minorEastAsia" w:cstheme="minorEastAsia"/>
          <w:szCs w:val="21"/>
        </w:rPr>
        <w:t>，甲方也有权对抵押物（如有）行使抵押权，并保留追究乙方欺诈等法律责任的权利：1）乙方场景分期业务延迟还款；或2）乙方有任何舞弊、欺诈或非真实交易的情形；或3）乙方有其他信用程度降低的情况；或4）乙方不履行对甲方的其他债务；5）乙方违反本合约或其他相关规定；或6）乙方撤销已成功的场景分期交易或退货；或7）如乙方办理场景分期业务用于购买汽车，乙方在场景分期债务清偿完毕前未按要求对汽车进行注册登记或登记后转让给第三人；或8）为同一笔交易，乙方除了办理甲方场景分期业务外还办理了其他机构的场景分期业务、汽车贷款业务等类似业务；或9）乙方申请附加费业务（如有）与实际用途不符；或10）乙方自甲方核准并申请用于房屋装修的场景分期业务申请并甲方向供应商支付相应款项之日起15日未开工装修；或1</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）乙方存在出卖银行卡等行为；或1</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）乙方涉嫌洗钱、恐怖融资或涉及联合国等制裁；或1</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）乙方名下的信用卡由于被取消、管制、终止、已经过期并不被续期等原因变为不正常状态；或1</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）乙方已经破产或身故；或1</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）其它甲方认为可能导致乙方无法或不履行还款义务的情况。</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9</w:t>
      </w:r>
      <w:r>
        <w:rPr>
          <w:rFonts w:hint="eastAsia" w:asciiTheme="minorEastAsia" w:hAnsiTheme="minorEastAsia" w:eastAsiaTheme="minorEastAsia" w:cstheme="minorEastAsia"/>
          <w:b/>
          <w:szCs w:val="21"/>
        </w:rPr>
        <w:t>.如因乙方原因导致场景分期业务交易失败，所造成的损失由乙方承担，且甲方有权取消乙方的场景分期业务。</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b/>
          <w:szCs w:val="21"/>
          <w:lang w:val="en-US" w:eastAsia="zh-CN"/>
        </w:rPr>
        <w:t>0</w:t>
      </w:r>
      <w:r>
        <w:rPr>
          <w:rFonts w:hint="eastAsia" w:asciiTheme="minorEastAsia" w:hAnsiTheme="minorEastAsia" w:eastAsiaTheme="minorEastAsia" w:cstheme="minorEastAsia"/>
          <w:b/>
          <w:szCs w:val="21"/>
        </w:rPr>
        <w:t>.乙方知晓并同意，场景分期业务不累积信用卡积分。乙方知晓并同意，场景分期业务分期总金额的还款方式仅针对部分特定客户开放不等额还款，且不等额还款的每期还款比例等以甲方提供的金融方案为准。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.乙方知晓并同意，申请场景分期业务通过后甲方将向乙方核发齐鲁银行个人信用卡主卡。</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b/>
          <w:szCs w:val="21"/>
          <w:lang w:val="en-US" w:eastAsia="zh-CN"/>
        </w:rPr>
        <w:t>2</w:t>
      </w:r>
      <w:r>
        <w:rPr>
          <w:rFonts w:hint="eastAsia" w:asciiTheme="minorEastAsia" w:hAnsiTheme="minorEastAsia" w:eastAsiaTheme="minorEastAsia" w:cstheme="minorEastAsia"/>
          <w:b/>
          <w:szCs w:val="21"/>
        </w:rPr>
        <w:t>.</w:t>
      </w:r>
      <w:r>
        <w:rPr>
          <w:rStyle w:val="10"/>
          <w:rFonts w:hint="eastAsia" w:asciiTheme="minorEastAsia" w:hAnsiTheme="minorEastAsia" w:eastAsiaTheme="minorEastAsia" w:cstheme="minorEastAsia"/>
          <w:color w:val="000000"/>
          <w:szCs w:val="21"/>
        </w:rPr>
        <w:t>甲方将通过短信、官方微信、手机银行、网上银行和电子邮件等渠道为乙方提供电子对账服务，</w:t>
      </w:r>
      <w:r>
        <w:rPr>
          <w:rStyle w:val="10"/>
          <w:rFonts w:hint="eastAsia" w:asciiTheme="minorEastAsia" w:hAnsiTheme="minorEastAsia" w:eastAsiaTheme="minorEastAsia" w:cstheme="minorEastAsia"/>
          <w:b w:val="0"/>
          <w:szCs w:val="21"/>
        </w:rPr>
        <w:t>但乙方与甲方另有约定的除外。</w:t>
      </w:r>
      <w:r>
        <w:rPr>
          <w:rStyle w:val="10"/>
          <w:rFonts w:hint="eastAsia" w:asciiTheme="minorEastAsia" w:hAnsiTheme="minorEastAsia" w:eastAsiaTheme="minorEastAsia" w:cstheme="minorEastAsia"/>
          <w:b w:val="0"/>
          <w:color w:val="000000"/>
          <w:szCs w:val="21"/>
        </w:rPr>
        <w:t>乙方保证向甲方提供的电子邮箱地址是正确、完整、真实的并能正常接收甲方发送的电子邮件账单。</w:t>
      </w:r>
      <w:r>
        <w:rPr>
          <w:rFonts w:hint="eastAsia" w:asciiTheme="minorEastAsia" w:hAnsiTheme="minorEastAsia" w:eastAsiaTheme="minorEastAsia" w:cstheme="minorEastAsia"/>
          <w:szCs w:val="21"/>
        </w:rPr>
        <w:t>乙方如发生工作、通讯地址、电话、电子邮箱或身份证件信息等资料变更，应及时与甲方联系办理资料变更手续。否则，由此产生的损失由乙方承担。</w:t>
      </w:r>
    </w:p>
    <w:p>
      <w:pPr>
        <w:pStyle w:val="6"/>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w:t>
      </w: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rPr>
        <w:t>.如乙方未依约还款或存在其他未偿还的信用卡账款（如利息、违约金等），则甲方有权自行或委托第三方通过电话、信函、手机短信、电子邮件、面访、司法渠道等方式向乙方本人直接催缴欠款；</w:t>
      </w:r>
      <w:r>
        <w:rPr>
          <w:rStyle w:val="10"/>
          <w:rFonts w:hint="eastAsia" w:asciiTheme="minorEastAsia" w:hAnsiTheme="minorEastAsia" w:eastAsiaTheme="minorEastAsia" w:cstheme="minorEastAsia"/>
          <w:color w:val="000000"/>
          <w:sz w:val="21"/>
          <w:szCs w:val="21"/>
        </w:rPr>
        <w:t>或在因乙方拒接电话，电话无法接通，更换联系方式，拒收或拒回信函、短信、邮件等甲方无法与乙方联系等情况下，甲方有权向乙方提供的联系人、近亲属、工作单位或其他代偿意愿人进行联系，向其索要乙方联系方式，转告催缴欠款事宜（在此情况下，甲方有权将乙方的身份信息、欠款账户信息、欠款金额等提供给联系人、近亲属、工作单位或其他代偿意愿人）。</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.乙方若未依约还款或有违法违规、欺诈等行为的，甲方有权催收、依法追索。甲方因此而支出的费用（包括但不限于律师费、诉讼费等）均由乙方承担。</w:t>
      </w:r>
      <w:r>
        <w:rPr>
          <w:rStyle w:val="10"/>
          <w:rFonts w:hint="eastAsia" w:asciiTheme="minorEastAsia" w:hAnsiTheme="minorEastAsia" w:eastAsiaTheme="minorEastAsia" w:cstheme="minorEastAsia"/>
          <w:color w:val="000000"/>
          <w:szCs w:val="21"/>
        </w:rPr>
        <w:t>乙方同意甲方冻结及扣划其在齐鲁银行辖下任一机构开立的账户内的资产（包括但不限于定期及活期存款、理财产品、第三方存管账户内款项等）以及处分相关信用卡项下、场景分期业务项下抵质押物用于清偿甲方的债权和经济损失。如需扣划乙方未到期的定期存款或理财产品，乙方同意放弃其未到期存款或理财产品产生的全部孳息（如有），扣划相应资金用于偿还乙方应偿还债务后剩余的定期存款或理财产品款项将转入乙方活期账户。</w:t>
      </w:r>
      <w:r>
        <w:rPr>
          <w:rFonts w:hint="eastAsia" w:asciiTheme="minorEastAsia" w:hAnsiTheme="minorEastAsia" w:eastAsiaTheme="minorEastAsia" w:cstheme="minorEastAsia"/>
          <w:b/>
          <w:szCs w:val="21"/>
        </w:rPr>
        <w:t>甲方同时保留依照法律程序追究相关法律责任的权利。</w:t>
      </w:r>
    </w:p>
    <w:p>
      <w:pPr>
        <w:spacing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val="en-US" w:eastAsia="zh-CN"/>
        </w:rPr>
        <w:t>5</w:t>
      </w:r>
      <w:r>
        <w:rPr>
          <w:rFonts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rPr>
        <w:t>甲方收到乙方的还款，按照已出账单、未出账单的顺序偿还；无逾期和逾期</w:t>
      </w:r>
      <w:r>
        <w:rPr>
          <w:rFonts w:asciiTheme="minorEastAsia" w:hAnsiTheme="minorEastAsia" w:eastAsiaTheme="minorEastAsia" w:cstheme="minorEastAsia"/>
          <w:color w:val="000000"/>
          <w:szCs w:val="21"/>
        </w:rPr>
        <w:t>1～90天</w:t>
      </w:r>
      <w:r>
        <w:rPr>
          <w:rFonts w:hint="eastAsia" w:asciiTheme="minorEastAsia" w:hAnsiTheme="minorEastAsia" w:eastAsiaTheme="minorEastAsia" w:cstheme="minorEastAsia"/>
          <w:color w:val="000000"/>
          <w:szCs w:val="21"/>
        </w:rPr>
        <w:t>（含）的，上期有欠款时，先还上期应还款额，再还本期应还款额：上期利息、上期费用、上期本金（取现、分期、消费依次冲减）、本期利息、本期费用、本期本金（取现、分期、消费依次冲减）；逾期</w:t>
      </w:r>
      <w:r>
        <w:rPr>
          <w:rFonts w:asciiTheme="minorEastAsia" w:hAnsiTheme="minorEastAsia" w:eastAsiaTheme="minorEastAsia" w:cstheme="minorEastAsia"/>
          <w:color w:val="000000"/>
          <w:szCs w:val="21"/>
        </w:rPr>
        <w:t>91天</w:t>
      </w:r>
      <w:r>
        <w:rPr>
          <w:rFonts w:hint="eastAsia" w:asciiTheme="minorEastAsia" w:hAnsiTheme="minorEastAsia" w:eastAsiaTheme="minorEastAsia" w:cstheme="minorEastAsia"/>
          <w:color w:val="000000"/>
          <w:szCs w:val="21"/>
        </w:rPr>
        <w:t>（含）以上的，先还逾期</w:t>
      </w:r>
      <w:r>
        <w:rPr>
          <w:rFonts w:asciiTheme="minorEastAsia" w:hAnsiTheme="minorEastAsia" w:eastAsiaTheme="minorEastAsia" w:cstheme="minorEastAsia"/>
          <w:color w:val="000000"/>
          <w:szCs w:val="21"/>
        </w:rPr>
        <w:t>91天</w:t>
      </w:r>
      <w:r>
        <w:rPr>
          <w:rFonts w:hint="eastAsia" w:asciiTheme="minorEastAsia" w:hAnsiTheme="minorEastAsia" w:eastAsiaTheme="minorEastAsia" w:cstheme="minorEastAsia"/>
          <w:color w:val="000000"/>
          <w:szCs w:val="21"/>
        </w:rPr>
        <w:t>（含）以上的本金、费用、利息，再还上期利息、上期费用、上期本金（取现、分期、消费依次冲减）、本期利息、本期费用、本期本金（取现、分期、消费依次冲减）。</w:t>
      </w:r>
    </w:p>
    <w:p>
      <w:pPr>
        <w:spacing w:line="360" w:lineRule="auto"/>
        <w:rPr>
          <w:rFonts w:asciiTheme="minorEastAsia" w:hAnsiTheme="minorEastAsia" w:eastAsiaTheme="minorEastAsia" w:cstheme="minorEastAsia"/>
          <w:color w:val="000000"/>
          <w:szCs w:val="21"/>
        </w:rPr>
      </w:pP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（三）其他</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.为防范风险，保障甲乙双方利益，乙方有义务配合甲方的调查，并按甲方要求及时提供相关文件资料。否则，由此造成的损失由乙方承担。</w:t>
      </w:r>
    </w:p>
    <w:p>
      <w:pPr>
        <w:spacing w:after="156" w:afterLines="5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b/>
          <w:szCs w:val="21"/>
          <w:lang w:val="en-US" w:eastAsia="zh-CN"/>
        </w:rPr>
        <w:t>7</w:t>
      </w:r>
      <w:r>
        <w:rPr>
          <w:rFonts w:hint="eastAsia" w:asciiTheme="minorEastAsia" w:hAnsiTheme="minorEastAsia" w:eastAsiaTheme="minorEastAsia" w:cstheme="minorEastAsia"/>
          <w:b/>
          <w:szCs w:val="21"/>
        </w:rPr>
        <w:t>.乙方不得利用场景分期业务进行虚假交易、洗钱等违法违规行为，且有义务配合甲方进行相关调查。如乙方拒绝配合甲方进行相关调查或甲方认为乙方存在下述任一情形：1）虚假交易；2）洗钱；3）欺诈；4）违反诚信原则的行为；5）违反本协议约定；6）其他违法违规行为，甲方有权采取以下一种、多种或全部措施：1）暂停或终止向乙方提供场景分期业务；2）终止本协议；3）限制或取消乙方的信用卡交易；4）中止或停止乙方使用甲方信用卡的权利；5）宣布分期债务或信用卡项下全部债务立即到期。</w:t>
      </w:r>
    </w:p>
    <w:p>
      <w:pPr>
        <w:spacing w:after="156" w:afterLines="5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18</w:t>
      </w:r>
      <w:r>
        <w:rPr>
          <w:rFonts w:hint="eastAsia" w:asciiTheme="minorEastAsia" w:hAnsiTheme="minorEastAsia" w:eastAsiaTheme="minorEastAsia" w:cstheme="minorEastAsia"/>
          <w:szCs w:val="21"/>
        </w:rPr>
        <w:t>.为了确保资金安全，乙方须妥善保管好乙方的信用卡卡号、有效期、密码等卡片信息和个人信息。因乙方原因导致乙方个人信息或卡片信息泄露造成的风险和损失，均由乙方承担。</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19</w:t>
      </w:r>
      <w:r>
        <w:rPr>
          <w:rFonts w:hint="eastAsia" w:asciiTheme="minorEastAsia" w:hAnsiTheme="minorEastAsia" w:eastAsiaTheme="minorEastAsia" w:cstheme="minorEastAsia"/>
          <w:b/>
          <w:szCs w:val="21"/>
        </w:rPr>
        <w:t>.甲方将提前公告或通知（甲方有权根据实际业务情况选择以下一种或多种方式予以通知，具体可供选择的通知方式包括但不限于网站公告、营业网点公告、对账单告知、电子邮件告知、短信通知、报刊公告或语音电话通知等）乙方下述变更事项：本合约或作为本合约组成部分的《齐鲁银行信用卡章程》的修改、《齐鲁银行信用卡收费标准》中收费项目或标准的变化等。该等变更自公告或通知中载明的生效日期起开始生效，乙方有权在生效日期前选择是否同意该等变更。如乙方不接受该等变更，乙方应在公告或通知中载明的生效日期前终止使用信用卡、场景分期业务，并按照规定提前一次性偿还场景分期债务和办理销户手续等，甲方有权宣布乙方的剩余分期债务部分或全部提前到期，并有权要求乙方提前一次性清偿，乙方应当提前一次性清偿甲方宣布提前到期的剩余分期债务，甲方已收取的分期利息不予退还且将按甲方宣布提前到期的剩余分期债务中的未偿本金的3%向乙方收取提前结清违约金。乙方支付的提前结清违约金最低为0元，最高不超过分期交易全部剩余分期利息。如上述提前结清违约金不足以弥补甲方损失的，甲方有权追索差额部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否则视为乙方同意该等变更，变更后的内容对乙方具有法律约束力。</w:t>
      </w:r>
    </w:p>
    <w:p>
      <w:pPr>
        <w:spacing w:after="156" w:afterLines="5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.本合约适用中华人民共和国法律。</w:t>
      </w:r>
      <w:r>
        <w:rPr>
          <w:rFonts w:hint="eastAsia" w:asciiTheme="minorEastAsia" w:hAnsiTheme="minorEastAsia" w:eastAsiaTheme="minorEastAsia" w:cstheme="minorEastAsia"/>
          <w:b/>
          <w:bCs/>
          <w:szCs w:val="21"/>
        </w:rPr>
        <w:t>甲方与乙方在履行合约中发生的争议，由双方协商解决，协商不成提起诉讼的，由乙方具体办理信用卡申领手续的甲方分支机构所在地或甲方所在地人民法院管辖。</w:t>
      </w:r>
      <w:r>
        <w:rPr>
          <w:rFonts w:hint="eastAsia" w:asciiTheme="minorEastAsia" w:hAnsiTheme="minorEastAsia" w:eastAsiaTheme="minorEastAsia" w:cstheme="minorEastAsia"/>
          <w:szCs w:val="21"/>
        </w:rPr>
        <w:t>乙方同意其最近预留在甲方的用于接收信用卡或信用卡有关函件的地址作为接收诉讼法律文书的送达地址，管辖法院向该等地址寄送诉讼法律文书，即视为有效送达。上述送达地址不正确、变更后未书面通知甲方，致使寄送的文件和文书未能被实际接收或退回的，相关文件或文书寄出后第五个工作日或被退回之日视为送达之日。</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kern w:val="0"/>
          <w:szCs w:val="21"/>
        </w:rPr>
        <w:t>2</w:t>
      </w:r>
      <w:r>
        <w:rPr>
          <w:rFonts w:hint="eastAsia" w:asciiTheme="minorEastAsia" w:hAnsiTheme="minorEastAsia" w:eastAsiaTheme="minorEastAsia" w:cstheme="minorEastAsia"/>
          <w:b/>
          <w:kern w:val="0"/>
          <w:szCs w:val="21"/>
          <w:lang w:val="en-US" w:eastAsia="zh-CN"/>
        </w:rPr>
        <w:t>1</w:t>
      </w:r>
      <w:r>
        <w:rPr>
          <w:rFonts w:hint="eastAsia" w:asciiTheme="minorEastAsia" w:hAnsiTheme="minorEastAsia" w:eastAsiaTheme="minorEastAsia" w:cstheme="minorEastAsia"/>
          <w:b/>
          <w:kern w:val="0"/>
          <w:szCs w:val="21"/>
        </w:rPr>
        <w:t>.</w:t>
      </w:r>
      <w:r>
        <w:rPr>
          <w:rFonts w:hint="eastAsia" w:asciiTheme="minorEastAsia" w:hAnsiTheme="minorEastAsia" w:eastAsiaTheme="minorEastAsia" w:cstheme="minorEastAsia"/>
          <w:b/>
          <w:szCs w:val="21"/>
        </w:rPr>
        <w:t xml:space="preserve">场景分期业务费用和利息标准同齐鲁银行信用卡相关费用和利息标准。 </w:t>
      </w:r>
      <w:r>
        <w:rPr>
          <w:rFonts w:hint="eastAsia" w:asciiTheme="minorEastAsia" w:hAnsiTheme="minorEastAsia" w:eastAsiaTheme="minorEastAsia" w:cstheme="minorEastAsia"/>
          <w:bCs/>
          <w:szCs w:val="21"/>
        </w:rPr>
        <w:t>其中，场景分期业务的分期期数包括3期、6期、9期、12期、18期、24期、36期、48期、60期，不同商品和商户支持的期数有所不同，不同商品或商户的相同分期期数对应的费率、近似折算年化利率也有所不同，具体以业务办理时实际展示为准。（年化利率用单利计算仅供参考，受交易时间、还款时间等不同因素的影响，实际年化利率因选择办理的分期产品与账单日间隔、每月实际天数、合作商户等不同情况而可能与前述年化利率存在差异），是根据乙方现金流计算的年化内含报酬率，其公式为：</w:t>
      </w:r>
    </w:p>
    <w:p>
      <w:pPr>
        <w:pStyle w:val="6"/>
        <w:spacing w:before="0" w:beforeAutospacing="1" w:after="0" w:afterAutospacing="1"/>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drawing>
          <wp:inline distT="0" distB="0" distL="114300" distR="114300">
            <wp:extent cx="4309745" cy="585470"/>
            <wp:effectExtent l="0" t="0" r="14605" b="508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4309745" cy="585470"/>
                    </a:xfrm>
                    <a:prstGeom prst="rect">
                      <a:avLst/>
                    </a:prstGeom>
                  </pic:spPr>
                </pic:pic>
              </a:graphicData>
            </a:graphic>
          </wp:inline>
        </w:drawing>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如乙方未依约还款则不适用前述近似折算年化利率。</w:t>
      </w:r>
    </w:p>
    <w:p>
      <w:pPr>
        <w:spacing w:line="360" w:lineRule="auto"/>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b/>
          <w:szCs w:val="21"/>
          <w:lang w:val="en-US" w:eastAsia="zh-CN"/>
        </w:rPr>
        <w:t>2</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本合约未尽事项依据齐鲁银行信用卡章程、齐鲁银行信用卡领用合约、银行业务规定、金融惯例等有关规定处理。</w:t>
      </w:r>
    </w:p>
    <w:p>
      <w:pPr>
        <w:spacing w:after="156" w:afterLines="50" w:line="360" w:lineRule="auto"/>
        <w:rPr>
          <w:rFonts w:asciiTheme="minorEastAsia" w:hAnsiTheme="minorEastAsia" w:eastAsiaTheme="minorEastAsia" w:cstheme="minorEastAsia"/>
          <w:b/>
          <w:bCs/>
          <w:kern w:val="0"/>
          <w:szCs w:val="21"/>
        </w:rPr>
      </w:pPr>
    </w:p>
    <w:p>
      <w:pPr>
        <w:pStyle w:val="18"/>
        <w:numPr>
          <w:ilvl w:val="0"/>
          <w:numId w:val="1"/>
        </w:numPr>
        <w:spacing w:after="156" w:afterLines="50" w:line="360" w:lineRule="auto"/>
        <w:ind w:firstLineChars="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kern w:val="0"/>
          <w:szCs w:val="21"/>
        </w:rPr>
        <w:t>办理</w:t>
      </w:r>
      <w:r>
        <w:rPr>
          <w:rFonts w:hint="eastAsia" w:asciiTheme="minorEastAsia" w:hAnsiTheme="minorEastAsia" w:eastAsiaTheme="minorEastAsia" w:cstheme="minorEastAsia"/>
          <w:b/>
          <w:szCs w:val="21"/>
        </w:rPr>
        <w:t>受托支付类场景分期业务自动适用以下条款（第2</w:t>
      </w:r>
      <w:r>
        <w:rPr>
          <w:rFonts w:hint="eastAsia" w:asciiTheme="minorEastAsia" w:hAnsiTheme="minorEastAsia" w:eastAsiaTheme="minorEastAsia" w:cstheme="minorEastAsia"/>
          <w:b/>
          <w:szCs w:val="21"/>
          <w:lang w:val="en-US" w:eastAsia="zh-CN"/>
        </w:rPr>
        <w:t>3</w:t>
      </w: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b/>
          <w:szCs w:val="21"/>
          <w:lang w:val="en-US" w:eastAsia="zh-CN"/>
        </w:rPr>
        <w:t>7</w:t>
      </w:r>
      <w:r>
        <w:rPr>
          <w:rFonts w:hint="eastAsia" w:asciiTheme="minorEastAsia" w:hAnsiTheme="minorEastAsia" w:eastAsiaTheme="minorEastAsia" w:cstheme="minorEastAsia"/>
          <w:b/>
          <w:szCs w:val="21"/>
        </w:rPr>
        <w:t>条）：</w:t>
      </w:r>
    </w:p>
    <w:p>
      <w:pPr>
        <w:spacing w:after="156" w:afterLines="50" w:line="360" w:lineRule="auto"/>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szCs w:val="21"/>
        </w:rPr>
        <w:t>本条中的场景分期业务仅指受托支付类场景分期业务，乙方按照本合约和相关规定承担相应的义务。</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.甲方负责审核本申请表及乙方向甲方提供的所有申请资料，一旦甲方审核通过乙方的场景分期业务申请，乙方即可与供应商签署商品或服务购买合同，支付首付金额，</w:t>
      </w:r>
      <w:r>
        <w:rPr>
          <w:rFonts w:hint="eastAsia" w:asciiTheme="minorEastAsia" w:hAnsiTheme="minorEastAsia" w:eastAsiaTheme="minorEastAsia" w:cstheme="minorEastAsia"/>
          <w:b/>
          <w:szCs w:val="21"/>
        </w:rPr>
        <w:t>且乙方不得使用齐鲁银行信用卡支付该首付金额</w:t>
      </w:r>
      <w:r>
        <w:rPr>
          <w:rFonts w:hint="eastAsia" w:asciiTheme="minorEastAsia" w:hAnsiTheme="minorEastAsia" w:eastAsiaTheme="minorEastAsia" w:cstheme="minorEastAsia"/>
          <w:szCs w:val="21"/>
        </w:rPr>
        <w:t>。</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若经甲方审核乙方为需抵押客户，一旦甲方核准乙方的场景分期业务申请并交易成功，乙方应与甲方签订抵押合同等并办理抵押登记，以担保场景分期业务款项及其他一切相关费用、利息等能够得到按时足额偿还</w:t>
      </w:r>
      <w:r>
        <w:rPr>
          <w:rFonts w:hint="eastAsia" w:asciiTheme="minorEastAsia" w:hAnsiTheme="minorEastAsia" w:eastAsiaTheme="minorEastAsia" w:cstheme="minorEastAsia"/>
          <w:szCs w:val="21"/>
          <w:lang w:eastAsia="zh-CN"/>
        </w:rPr>
        <w:t>，甲方于抵押登记办理完成后为乙方发放借款</w:t>
      </w:r>
      <w:r>
        <w:rPr>
          <w:rFonts w:hint="eastAsia" w:asciiTheme="minorEastAsia" w:hAnsiTheme="minorEastAsia" w:eastAsiaTheme="minorEastAsia" w:cstheme="minorEastAsia"/>
          <w:szCs w:val="21"/>
        </w:rPr>
        <w:t>，</w:t>
      </w:r>
      <w:r>
        <w:rPr>
          <w:rStyle w:val="11"/>
          <w:rFonts w:hint="eastAsia"/>
          <w:lang w:eastAsia="zh-CN"/>
        </w:rPr>
        <w:t>乙方</w:t>
      </w:r>
      <w:r>
        <w:rPr>
          <w:rFonts w:hint="eastAsia" w:asciiTheme="minorEastAsia" w:hAnsiTheme="minorEastAsia" w:eastAsiaTheme="minorEastAsia" w:cstheme="minorEastAsia"/>
          <w:szCs w:val="21"/>
        </w:rPr>
        <w:t>按甲方要求将供应商开具的发票影印件（</w:t>
      </w:r>
      <w:r>
        <w:rPr>
          <w:rFonts w:hint="eastAsia" w:asciiTheme="minorEastAsia" w:hAnsiTheme="minorEastAsia" w:eastAsiaTheme="minorEastAsia" w:cstheme="minorEastAsia"/>
          <w:color w:val="000000"/>
          <w:szCs w:val="21"/>
        </w:rPr>
        <w:t>如所购商品为汽车，还需提供</w:t>
      </w:r>
      <w:r>
        <w:rPr>
          <w:rFonts w:hint="eastAsia" w:asciiTheme="minorEastAsia" w:hAnsiTheme="minorEastAsia" w:eastAsiaTheme="minorEastAsia" w:cstheme="minorEastAsia"/>
          <w:szCs w:val="21"/>
        </w:rPr>
        <w:t>购买的保险单的影印件</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szCs w:val="21"/>
        </w:rPr>
        <w:t>、抵押合同原件及办理商品抵押登记相关文件寄送甲方。若经甲方审核乙方为免抵押客户，则乙方无需按前述条款之要求签订场景分期抵押合同及办理抵押登记，但仍应将供应商开具的发票影印件（</w:t>
      </w:r>
      <w:r>
        <w:rPr>
          <w:rFonts w:hint="eastAsia" w:asciiTheme="minorEastAsia" w:hAnsiTheme="minorEastAsia" w:eastAsiaTheme="minorEastAsia" w:cstheme="minorEastAsia"/>
          <w:color w:val="000000"/>
          <w:szCs w:val="21"/>
        </w:rPr>
        <w:t>如所购商品为汽车，还需提供</w:t>
      </w:r>
      <w:r>
        <w:rPr>
          <w:rFonts w:hint="eastAsia" w:asciiTheme="minorEastAsia" w:hAnsiTheme="minorEastAsia" w:eastAsiaTheme="minorEastAsia" w:cstheme="minorEastAsia"/>
          <w:szCs w:val="21"/>
        </w:rPr>
        <w:t>购买的保险单的影印件</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szCs w:val="21"/>
        </w:rPr>
        <w:t>及其他相关文件寄送甲方，并在甲方指定期间内按照甲方要求将相关信息（</w:t>
      </w:r>
      <w:r>
        <w:rPr>
          <w:rFonts w:hint="eastAsia" w:asciiTheme="minorEastAsia" w:hAnsiTheme="minorEastAsia" w:eastAsiaTheme="minorEastAsia" w:cstheme="minorEastAsia"/>
          <w:color w:val="000000"/>
          <w:szCs w:val="21"/>
        </w:rPr>
        <w:t>如所购商品为汽车，则为</w:t>
      </w:r>
      <w:r>
        <w:rPr>
          <w:rFonts w:hint="eastAsia" w:asciiTheme="minorEastAsia" w:hAnsiTheme="minorEastAsia" w:eastAsiaTheme="minorEastAsia" w:cstheme="minorEastAsia"/>
          <w:szCs w:val="21"/>
        </w:rPr>
        <w:t>车辆上牌信息</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szCs w:val="21"/>
        </w:rPr>
        <w:t>反馈给甲方。</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b/>
          <w:szCs w:val="21"/>
          <w:lang w:val="en-US" w:eastAsia="zh-CN"/>
        </w:rPr>
        <w:t>5</w:t>
      </w:r>
      <w:r>
        <w:rPr>
          <w:rFonts w:hint="eastAsia" w:asciiTheme="minorEastAsia" w:hAnsiTheme="minorEastAsia" w:eastAsiaTheme="minorEastAsia" w:cstheme="minorEastAsia"/>
          <w:b/>
          <w:szCs w:val="21"/>
        </w:rPr>
        <w:t>.如因乙方原因造成场景分期业务交易失败或抵押失败或自乙方通过甲方场景分期业务资格审核之日起60个自然日内乙方未配合甲方完成抵押登记（如需）并向甲方提交放款所需材料，导致甲方无法</w:t>
      </w:r>
      <w:r>
        <w:rPr>
          <w:rFonts w:hint="eastAsia" w:asciiTheme="minorEastAsia" w:hAnsiTheme="minorEastAsia" w:eastAsiaTheme="minorEastAsia" w:cstheme="minorEastAsia"/>
          <w:b/>
          <w:szCs w:val="21"/>
          <w:lang w:val="en-US" w:eastAsia="zh-CN"/>
        </w:rPr>
        <w:t>受托支付</w:t>
      </w:r>
      <w:r>
        <w:rPr>
          <w:rFonts w:hint="eastAsia" w:asciiTheme="minorEastAsia" w:hAnsiTheme="minorEastAsia" w:eastAsiaTheme="minorEastAsia" w:cstheme="minorEastAsia"/>
          <w:b/>
          <w:szCs w:val="21"/>
        </w:rPr>
        <w:t>给供应商，则甲方有权拒绝垫付款项，并有权取消乙方的场景分期业务，所造成的损失由乙方自行承担。</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有关商品或服务的买卖、质量、送货及售后服务等均由供应商提供，甲方并非商品的销售商或服务的提供商，与供应商无代理等关系或提供任何担保，乙方可以通过购买商品时所附的商品说明书、保修卡、发票等相关资料向供应商询问了解所购商品或服务的相关信息。如乙方与供应商之间就商品或服务的买卖、退货、换货、售后服务或其他相关事宜发生争议，乙方应与供应商协商处理，乙方对商品或服务等有任何疑问，应直接与供应商商洽，在争议处理过程中，乙方应继续按本合约之规定按期向甲方归还场景分期债务。前述争议不影响甲方对乙方所欠款项的追偿权及对抵押物（如有）的抵押权。</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b/>
          <w:szCs w:val="21"/>
          <w:lang w:val="en-US" w:eastAsia="zh-CN"/>
        </w:rPr>
        <w:t>7</w:t>
      </w:r>
      <w:r>
        <w:rPr>
          <w:rFonts w:hint="eastAsia" w:asciiTheme="minorEastAsia" w:hAnsiTheme="minorEastAsia" w:eastAsiaTheme="minorEastAsia" w:cstheme="minorEastAsia"/>
          <w:b/>
          <w:szCs w:val="21"/>
        </w:rPr>
        <w:t>.乙方知晓并同意，在乙方场景分期业务存续期间，如因乙方、供应商或其他非甲方过错导致乙方部分或全部退货或导致乙方提前一次性偿还或甲方要求乙方提前一次性偿还场景分期债务，则甲方有权宣布乙方的剩余分期债务部分或全部提前到期，并有权要求乙方提前一次性清偿，乙方应当提前一次性清偿甲方宣布提前到期的剩余分期债务，甲方已收取的手续费不予退还且将按甲方宣布提前到期的剩余分期债务中的未偿本金的3%向乙方收取提前结清违约金。乙方支付的提前结清违约金最低为0元，最高不超过分期交易全部剩余手续费。如上述提前结清违约金不足以弥补甲方损失的，甲方有权追索差额部分。</w:t>
      </w:r>
      <w:bookmarkStart w:id="0" w:name="_GoBack"/>
      <w:bookmarkEnd w:id="0"/>
    </w:p>
    <w:p>
      <w:pPr>
        <w:spacing w:line="360" w:lineRule="auto"/>
        <w:rPr>
          <w:rFonts w:asciiTheme="minorEastAsia" w:hAnsiTheme="minorEastAsia" w:eastAsiaTheme="minorEastAsia" w:cstheme="minorEastAsia"/>
          <w:szCs w:val="21"/>
        </w:rPr>
      </w:pPr>
    </w:p>
    <w:p>
      <w:pPr>
        <w:pStyle w:val="18"/>
        <w:numPr>
          <w:ilvl w:val="0"/>
          <w:numId w:val="1"/>
        </w:numPr>
        <w:spacing w:after="156" w:afterLines="50" w:line="360" w:lineRule="auto"/>
        <w:ind w:firstLineChars="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kern w:val="0"/>
          <w:szCs w:val="21"/>
        </w:rPr>
        <w:t>办理</w:t>
      </w:r>
      <w:r>
        <w:rPr>
          <w:rFonts w:hint="eastAsia" w:asciiTheme="minorEastAsia" w:hAnsiTheme="minorEastAsia" w:eastAsiaTheme="minorEastAsia" w:cstheme="minorEastAsia"/>
          <w:b/>
          <w:szCs w:val="21"/>
        </w:rPr>
        <w:t>刷卡支付类场景分期业务自动适用以下条款（第</w:t>
      </w:r>
      <w:r>
        <w:rPr>
          <w:rFonts w:hint="eastAsia" w:asciiTheme="minorEastAsia" w:hAnsiTheme="minorEastAsia" w:eastAsiaTheme="minorEastAsia" w:cstheme="minorEastAsia"/>
          <w:b/>
          <w:szCs w:val="21"/>
          <w:lang w:val="en-US" w:eastAsia="zh-CN"/>
        </w:rPr>
        <w:t>28</w:t>
      </w: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en-US" w:eastAsia="zh-CN"/>
        </w:rPr>
        <w:t>1</w:t>
      </w:r>
      <w:r>
        <w:rPr>
          <w:rFonts w:hint="eastAsia" w:asciiTheme="minorEastAsia" w:hAnsiTheme="minorEastAsia" w:eastAsiaTheme="minorEastAsia" w:cstheme="minorEastAsia"/>
          <w:b/>
          <w:szCs w:val="21"/>
        </w:rPr>
        <w:t>条）：</w:t>
      </w:r>
    </w:p>
    <w:p>
      <w:pPr>
        <w:spacing w:after="156" w:afterLines="50" w:line="360" w:lineRule="auto"/>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szCs w:val="21"/>
        </w:rPr>
        <w:t>本条中的场景分期业务仅指刷卡支付类场景分期业务，乙方按照本合约和相关规定承担相应的义务。</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28</w:t>
      </w:r>
      <w:r>
        <w:rPr>
          <w:rFonts w:hint="eastAsia" w:asciiTheme="minorEastAsia" w:hAnsiTheme="minorEastAsia" w:eastAsiaTheme="minorEastAsia" w:cstheme="minorEastAsia"/>
          <w:szCs w:val="21"/>
        </w:rPr>
        <w:t>.甲方负责审核本申请表及乙方向甲方提供的所有申请资料。</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29</w:t>
      </w:r>
      <w:r>
        <w:rPr>
          <w:rFonts w:hint="eastAsia" w:asciiTheme="minorEastAsia" w:hAnsiTheme="minorEastAsia" w:eastAsiaTheme="minorEastAsia" w:cstheme="minorEastAsia"/>
          <w:szCs w:val="21"/>
        </w:rPr>
        <w:t>.一旦甲方审核通过乙方的场景分期业务申请，甲方即为乙方核批一张具有专项额度的信用卡。</w:t>
      </w:r>
      <w:r>
        <w:rPr>
          <w:rFonts w:hint="eastAsia" w:asciiTheme="minorEastAsia" w:hAnsiTheme="minorEastAsia" w:eastAsiaTheme="minorEastAsia" w:cstheme="minorEastAsia"/>
          <w:b/>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en-US" w:eastAsia="zh-CN"/>
        </w:rPr>
        <w:t>0</w:t>
      </w:r>
      <w:r>
        <w:rPr>
          <w:rFonts w:hint="eastAsia" w:asciiTheme="minorEastAsia" w:hAnsiTheme="minorEastAsia" w:eastAsiaTheme="minorEastAsia" w:cstheme="minorEastAsia"/>
          <w:b/>
          <w:szCs w:val="21"/>
        </w:rPr>
        <w:t>.乙方知悉并同意，甲方核批的专项额度的信用卡仅限用于消费（包括但不限于装修、家电、婚庆、购车、助学、旅游、医疗等），不得用于投资（包括但不限于购房、股票、期货及其他股本权益性投资）。</w:t>
      </w:r>
    </w:p>
    <w:p>
      <w:pPr>
        <w:spacing w:after="156" w:afterLines="50"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en-US" w:eastAsia="zh-CN"/>
        </w:rPr>
        <w:t>1</w:t>
      </w:r>
      <w:r>
        <w:rPr>
          <w:rFonts w:hint="eastAsia" w:asciiTheme="minorEastAsia" w:hAnsiTheme="minorEastAsia" w:eastAsiaTheme="minorEastAsia" w:cstheme="minorEastAsia"/>
          <w:b/>
          <w:szCs w:val="21"/>
        </w:rPr>
        <w:t>.乙方知悉并同意，本业务仅限人民币币种，乙方不能对本业务申请金额或申请分期期数等进行更改。</w:t>
      </w:r>
    </w:p>
    <w:p>
      <w:pPr>
        <w:pStyle w:val="18"/>
        <w:numPr>
          <w:ilvl w:val="0"/>
          <w:numId w:val="1"/>
        </w:numPr>
        <w:spacing w:after="156" w:afterLines="50" w:line="360" w:lineRule="auto"/>
        <w:ind w:firstLineChars="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kern w:val="0"/>
          <w:szCs w:val="21"/>
        </w:rPr>
        <w:t>其他</w:t>
      </w:r>
      <w:r>
        <w:rPr>
          <w:rFonts w:hint="eastAsia" w:asciiTheme="minorEastAsia" w:hAnsiTheme="minorEastAsia" w:eastAsiaTheme="minorEastAsia" w:cstheme="minorEastAsia"/>
          <w:b/>
          <w:szCs w:val="21"/>
        </w:rPr>
        <w:t>条款（第3</w:t>
      </w:r>
      <w:r>
        <w:rPr>
          <w:rFonts w:hint="eastAsia" w:asciiTheme="minorEastAsia" w:hAnsiTheme="minorEastAsia" w:eastAsiaTheme="minorEastAsia" w:cstheme="minorEastAsia"/>
          <w:b/>
          <w:szCs w:val="21"/>
          <w:lang w:val="en-US" w:eastAsia="zh-CN"/>
        </w:rPr>
        <w:t>2</w:t>
      </w: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en-US" w:eastAsia="zh-CN"/>
        </w:rPr>
        <w:t>3</w:t>
      </w:r>
      <w:r>
        <w:rPr>
          <w:rFonts w:hint="eastAsia" w:asciiTheme="minorEastAsia" w:hAnsiTheme="minorEastAsia" w:eastAsiaTheme="minorEastAsia" w:cstheme="minorEastAsia"/>
          <w:b/>
          <w:szCs w:val="21"/>
        </w:rPr>
        <w:t>条）：</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en-US" w:eastAsia="zh-CN"/>
        </w:rPr>
        <w:t>2</w:t>
      </w:r>
      <w:r>
        <w:rPr>
          <w:rFonts w:hint="eastAsia" w:asciiTheme="minorEastAsia" w:hAnsiTheme="minorEastAsia" w:eastAsiaTheme="minorEastAsia" w:cstheme="minorEastAsia"/>
          <w:b/>
          <w:szCs w:val="21"/>
        </w:rPr>
        <w:t>.甲方为乙方提供客服电话、营业网点等业务咨询及投诉受理渠道，乙方可以查询其签订的信用卡业务申请资料、相关合同（协议），或本合约所述相关第三方合作机构。</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en-US" w:eastAsia="zh-CN"/>
        </w:rPr>
        <w:t>3</w:t>
      </w:r>
      <w:r>
        <w:rPr>
          <w:rFonts w:asciiTheme="minorEastAsia" w:hAnsiTheme="minorEastAsia" w:eastAsiaTheme="minorEastAsia" w:cstheme="minorEastAsia"/>
          <w:b/>
          <w:szCs w:val="21"/>
        </w:rPr>
        <w:t>.</w:t>
      </w:r>
      <w:r>
        <w:rPr>
          <w:rFonts w:hint="eastAsia" w:asciiTheme="minorEastAsia" w:hAnsiTheme="minorEastAsia" w:eastAsiaTheme="minorEastAsia" w:cstheme="minorEastAsia"/>
          <w:b/>
          <w:szCs w:val="21"/>
        </w:rPr>
        <w:t>甲方客服电话：4001096588。</w:t>
      </w:r>
    </w:p>
    <w:sectPr>
      <w:pgSz w:w="11906" w:h="16838"/>
      <w:pgMar w:top="720" w:right="1474" w:bottom="72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roman"/>
    <w:pitch w:val="default"/>
    <w:sig w:usb0="B00002AF" w:usb1="69D77CFB" w:usb2="00000030" w:usb3="00000000" w:csb0="4008009F" w:csb1="DFD70000"/>
  </w:font>
  <w:font w:name="宋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84B36"/>
    <w:multiLevelType w:val="multilevel"/>
    <w:tmpl w:val="58B84B36"/>
    <w:lvl w:ilvl="0" w:tentative="0">
      <w:start w:val="1"/>
      <w:numFmt w:val="japaneseCounting"/>
      <w:lvlText w:val="第%1条"/>
      <w:lvlJc w:val="left"/>
      <w:pPr>
        <w:ind w:left="825" w:hanging="8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08"/>
    <w:rsid w:val="000061F2"/>
    <w:rsid w:val="00010F89"/>
    <w:rsid w:val="0001199A"/>
    <w:rsid w:val="00012B34"/>
    <w:rsid w:val="00015D36"/>
    <w:rsid w:val="0002262F"/>
    <w:rsid w:val="00023793"/>
    <w:rsid w:val="00024C7C"/>
    <w:rsid w:val="000261D6"/>
    <w:rsid w:val="00026ABA"/>
    <w:rsid w:val="00032E2E"/>
    <w:rsid w:val="000368BE"/>
    <w:rsid w:val="00041001"/>
    <w:rsid w:val="00044563"/>
    <w:rsid w:val="0004568F"/>
    <w:rsid w:val="000633F4"/>
    <w:rsid w:val="00070718"/>
    <w:rsid w:val="00070B22"/>
    <w:rsid w:val="00072816"/>
    <w:rsid w:val="00072F16"/>
    <w:rsid w:val="00073473"/>
    <w:rsid w:val="00073487"/>
    <w:rsid w:val="00083283"/>
    <w:rsid w:val="00084D43"/>
    <w:rsid w:val="000901DB"/>
    <w:rsid w:val="000917DA"/>
    <w:rsid w:val="00092AD0"/>
    <w:rsid w:val="0009314A"/>
    <w:rsid w:val="00094EA8"/>
    <w:rsid w:val="000A379B"/>
    <w:rsid w:val="000A5223"/>
    <w:rsid w:val="000A5F08"/>
    <w:rsid w:val="000A67BA"/>
    <w:rsid w:val="000B073C"/>
    <w:rsid w:val="000B3052"/>
    <w:rsid w:val="000B3B0C"/>
    <w:rsid w:val="000B5D66"/>
    <w:rsid w:val="000C4D5E"/>
    <w:rsid w:val="000C691E"/>
    <w:rsid w:val="000C70D9"/>
    <w:rsid w:val="000C77A9"/>
    <w:rsid w:val="000D0482"/>
    <w:rsid w:val="000D09E5"/>
    <w:rsid w:val="000D2538"/>
    <w:rsid w:val="000D34A8"/>
    <w:rsid w:val="000D6EFA"/>
    <w:rsid w:val="000D7D93"/>
    <w:rsid w:val="000E0E37"/>
    <w:rsid w:val="000E193C"/>
    <w:rsid w:val="000E5525"/>
    <w:rsid w:val="000E73DE"/>
    <w:rsid w:val="000F0A55"/>
    <w:rsid w:val="000F0C4E"/>
    <w:rsid w:val="000F4EEC"/>
    <w:rsid w:val="000F60EF"/>
    <w:rsid w:val="00101E55"/>
    <w:rsid w:val="00103EAF"/>
    <w:rsid w:val="00106C0D"/>
    <w:rsid w:val="00107574"/>
    <w:rsid w:val="00114923"/>
    <w:rsid w:val="00116075"/>
    <w:rsid w:val="001215A6"/>
    <w:rsid w:val="00125759"/>
    <w:rsid w:val="00125E4D"/>
    <w:rsid w:val="001347AC"/>
    <w:rsid w:val="0013779C"/>
    <w:rsid w:val="001405AB"/>
    <w:rsid w:val="001412E3"/>
    <w:rsid w:val="00142555"/>
    <w:rsid w:val="00144F51"/>
    <w:rsid w:val="00146357"/>
    <w:rsid w:val="001520B2"/>
    <w:rsid w:val="001523DF"/>
    <w:rsid w:val="00152BA3"/>
    <w:rsid w:val="001558E5"/>
    <w:rsid w:val="00160A7F"/>
    <w:rsid w:val="00162EF9"/>
    <w:rsid w:val="001646D7"/>
    <w:rsid w:val="00164730"/>
    <w:rsid w:val="0016493B"/>
    <w:rsid w:val="00172A27"/>
    <w:rsid w:val="00172A59"/>
    <w:rsid w:val="001731AD"/>
    <w:rsid w:val="0017439B"/>
    <w:rsid w:val="00177F7E"/>
    <w:rsid w:val="00180C91"/>
    <w:rsid w:val="00190003"/>
    <w:rsid w:val="00192817"/>
    <w:rsid w:val="00192B5C"/>
    <w:rsid w:val="00196D4D"/>
    <w:rsid w:val="001A202D"/>
    <w:rsid w:val="001A4A97"/>
    <w:rsid w:val="001A7531"/>
    <w:rsid w:val="001B0C10"/>
    <w:rsid w:val="001B5943"/>
    <w:rsid w:val="001C076C"/>
    <w:rsid w:val="001C1682"/>
    <w:rsid w:val="001C4634"/>
    <w:rsid w:val="001C6310"/>
    <w:rsid w:val="001C6859"/>
    <w:rsid w:val="001C6946"/>
    <w:rsid w:val="001D15FF"/>
    <w:rsid w:val="001E0EF0"/>
    <w:rsid w:val="001E20EC"/>
    <w:rsid w:val="001E32B1"/>
    <w:rsid w:val="001E7DF7"/>
    <w:rsid w:val="001F1EA8"/>
    <w:rsid w:val="001F5B7D"/>
    <w:rsid w:val="001F7120"/>
    <w:rsid w:val="001F76B8"/>
    <w:rsid w:val="002032C9"/>
    <w:rsid w:val="002118A0"/>
    <w:rsid w:val="002123A3"/>
    <w:rsid w:val="0021338C"/>
    <w:rsid w:val="00214035"/>
    <w:rsid w:val="00220A00"/>
    <w:rsid w:val="00223E9F"/>
    <w:rsid w:val="00224553"/>
    <w:rsid w:val="00227EDE"/>
    <w:rsid w:val="00232135"/>
    <w:rsid w:val="0023423F"/>
    <w:rsid w:val="00242CD5"/>
    <w:rsid w:val="00243056"/>
    <w:rsid w:val="0024412C"/>
    <w:rsid w:val="0024457A"/>
    <w:rsid w:val="002447BE"/>
    <w:rsid w:val="002515D0"/>
    <w:rsid w:val="00251B3E"/>
    <w:rsid w:val="002529C4"/>
    <w:rsid w:val="00253D98"/>
    <w:rsid w:val="00255122"/>
    <w:rsid w:val="00266F6B"/>
    <w:rsid w:val="002727C3"/>
    <w:rsid w:val="002729BB"/>
    <w:rsid w:val="00272C5F"/>
    <w:rsid w:val="00274344"/>
    <w:rsid w:val="00276807"/>
    <w:rsid w:val="00277B1C"/>
    <w:rsid w:val="00277E16"/>
    <w:rsid w:val="002873FB"/>
    <w:rsid w:val="0029175F"/>
    <w:rsid w:val="002939B8"/>
    <w:rsid w:val="00294B43"/>
    <w:rsid w:val="00294B56"/>
    <w:rsid w:val="002A092C"/>
    <w:rsid w:val="002A21D0"/>
    <w:rsid w:val="002A22F3"/>
    <w:rsid w:val="002B196F"/>
    <w:rsid w:val="002B23A5"/>
    <w:rsid w:val="002B5205"/>
    <w:rsid w:val="002B680E"/>
    <w:rsid w:val="002B7D1B"/>
    <w:rsid w:val="002C26B5"/>
    <w:rsid w:val="002C483D"/>
    <w:rsid w:val="002C5D09"/>
    <w:rsid w:val="002D1C43"/>
    <w:rsid w:val="002D3A2F"/>
    <w:rsid w:val="002E2A0B"/>
    <w:rsid w:val="002E2E82"/>
    <w:rsid w:val="002F1DD9"/>
    <w:rsid w:val="002F7F7A"/>
    <w:rsid w:val="00310DF9"/>
    <w:rsid w:val="00313CD3"/>
    <w:rsid w:val="003155A5"/>
    <w:rsid w:val="00316759"/>
    <w:rsid w:val="00317630"/>
    <w:rsid w:val="0032207A"/>
    <w:rsid w:val="0032230F"/>
    <w:rsid w:val="00322430"/>
    <w:rsid w:val="00324A91"/>
    <w:rsid w:val="0033373A"/>
    <w:rsid w:val="0033455B"/>
    <w:rsid w:val="00340C46"/>
    <w:rsid w:val="003410B8"/>
    <w:rsid w:val="00342D1F"/>
    <w:rsid w:val="003471F2"/>
    <w:rsid w:val="00347EFB"/>
    <w:rsid w:val="00351B5E"/>
    <w:rsid w:val="00357035"/>
    <w:rsid w:val="00362FDA"/>
    <w:rsid w:val="00365A9B"/>
    <w:rsid w:val="00366267"/>
    <w:rsid w:val="00370540"/>
    <w:rsid w:val="00370887"/>
    <w:rsid w:val="00371E08"/>
    <w:rsid w:val="00373C64"/>
    <w:rsid w:val="0038553F"/>
    <w:rsid w:val="00394BAC"/>
    <w:rsid w:val="003A2000"/>
    <w:rsid w:val="003A3E46"/>
    <w:rsid w:val="003A4A39"/>
    <w:rsid w:val="003A7BFF"/>
    <w:rsid w:val="003B05BF"/>
    <w:rsid w:val="003B128B"/>
    <w:rsid w:val="003B1D7D"/>
    <w:rsid w:val="003B559D"/>
    <w:rsid w:val="003B74EA"/>
    <w:rsid w:val="003C0992"/>
    <w:rsid w:val="003C18FA"/>
    <w:rsid w:val="003C3CF4"/>
    <w:rsid w:val="003C4834"/>
    <w:rsid w:val="003C7088"/>
    <w:rsid w:val="003C771E"/>
    <w:rsid w:val="003D4A57"/>
    <w:rsid w:val="003D6350"/>
    <w:rsid w:val="003D6882"/>
    <w:rsid w:val="003E04BF"/>
    <w:rsid w:val="003E05D3"/>
    <w:rsid w:val="003E1439"/>
    <w:rsid w:val="003F198E"/>
    <w:rsid w:val="003F27A5"/>
    <w:rsid w:val="003F40AB"/>
    <w:rsid w:val="003F7233"/>
    <w:rsid w:val="00405499"/>
    <w:rsid w:val="0041016A"/>
    <w:rsid w:val="0041341B"/>
    <w:rsid w:val="00414DCA"/>
    <w:rsid w:val="00415608"/>
    <w:rsid w:val="00416495"/>
    <w:rsid w:val="00417DEE"/>
    <w:rsid w:val="00426EE1"/>
    <w:rsid w:val="004320FC"/>
    <w:rsid w:val="00432350"/>
    <w:rsid w:val="004327C1"/>
    <w:rsid w:val="004423DD"/>
    <w:rsid w:val="00442F6C"/>
    <w:rsid w:val="00443ABC"/>
    <w:rsid w:val="00443F12"/>
    <w:rsid w:val="00463DF5"/>
    <w:rsid w:val="00467A4B"/>
    <w:rsid w:val="00475C74"/>
    <w:rsid w:val="00486D8B"/>
    <w:rsid w:val="004931FD"/>
    <w:rsid w:val="00496D5B"/>
    <w:rsid w:val="004A16E9"/>
    <w:rsid w:val="004A19D2"/>
    <w:rsid w:val="004A3C09"/>
    <w:rsid w:val="004B1A5C"/>
    <w:rsid w:val="004B5721"/>
    <w:rsid w:val="004B79FA"/>
    <w:rsid w:val="004B7F2C"/>
    <w:rsid w:val="004C1B52"/>
    <w:rsid w:val="004C2BDA"/>
    <w:rsid w:val="004C60DB"/>
    <w:rsid w:val="004C6148"/>
    <w:rsid w:val="004D0044"/>
    <w:rsid w:val="004D5820"/>
    <w:rsid w:val="004D7598"/>
    <w:rsid w:val="004E02DA"/>
    <w:rsid w:val="004E795A"/>
    <w:rsid w:val="004F12FA"/>
    <w:rsid w:val="004F6529"/>
    <w:rsid w:val="004F6894"/>
    <w:rsid w:val="004F77D9"/>
    <w:rsid w:val="00501434"/>
    <w:rsid w:val="00505B91"/>
    <w:rsid w:val="0050614F"/>
    <w:rsid w:val="00507D59"/>
    <w:rsid w:val="00511581"/>
    <w:rsid w:val="00512DDF"/>
    <w:rsid w:val="00513174"/>
    <w:rsid w:val="00513363"/>
    <w:rsid w:val="00520725"/>
    <w:rsid w:val="00520CB8"/>
    <w:rsid w:val="00521C2B"/>
    <w:rsid w:val="0052605E"/>
    <w:rsid w:val="00531FAB"/>
    <w:rsid w:val="00532477"/>
    <w:rsid w:val="00541B97"/>
    <w:rsid w:val="00542DBE"/>
    <w:rsid w:val="005432F0"/>
    <w:rsid w:val="00543AA1"/>
    <w:rsid w:val="00550353"/>
    <w:rsid w:val="00550924"/>
    <w:rsid w:val="00551FF3"/>
    <w:rsid w:val="005534F8"/>
    <w:rsid w:val="00554E3A"/>
    <w:rsid w:val="00561C66"/>
    <w:rsid w:val="00562EC0"/>
    <w:rsid w:val="005630C5"/>
    <w:rsid w:val="00565697"/>
    <w:rsid w:val="00570061"/>
    <w:rsid w:val="0057428B"/>
    <w:rsid w:val="00580E51"/>
    <w:rsid w:val="00590A24"/>
    <w:rsid w:val="00591C6E"/>
    <w:rsid w:val="005A152E"/>
    <w:rsid w:val="005A1CC9"/>
    <w:rsid w:val="005A34A6"/>
    <w:rsid w:val="005A4878"/>
    <w:rsid w:val="005A4B09"/>
    <w:rsid w:val="005A6E83"/>
    <w:rsid w:val="005B26C7"/>
    <w:rsid w:val="005B43D7"/>
    <w:rsid w:val="005B4469"/>
    <w:rsid w:val="005B45B5"/>
    <w:rsid w:val="005B4E72"/>
    <w:rsid w:val="005B5C16"/>
    <w:rsid w:val="005B6CCE"/>
    <w:rsid w:val="005C009F"/>
    <w:rsid w:val="005C286E"/>
    <w:rsid w:val="005C6EE3"/>
    <w:rsid w:val="005C7AF9"/>
    <w:rsid w:val="005D067D"/>
    <w:rsid w:val="005D7DE5"/>
    <w:rsid w:val="005E1AC9"/>
    <w:rsid w:val="005E2B5B"/>
    <w:rsid w:val="005F006B"/>
    <w:rsid w:val="005F753A"/>
    <w:rsid w:val="005F7D45"/>
    <w:rsid w:val="006020FF"/>
    <w:rsid w:val="00602E30"/>
    <w:rsid w:val="00603F12"/>
    <w:rsid w:val="006052DF"/>
    <w:rsid w:val="006069A6"/>
    <w:rsid w:val="00607C9E"/>
    <w:rsid w:val="00611511"/>
    <w:rsid w:val="00614965"/>
    <w:rsid w:val="00614AF2"/>
    <w:rsid w:val="00621267"/>
    <w:rsid w:val="0062157F"/>
    <w:rsid w:val="00624C4E"/>
    <w:rsid w:val="006261B9"/>
    <w:rsid w:val="006320D0"/>
    <w:rsid w:val="006335BA"/>
    <w:rsid w:val="00634C03"/>
    <w:rsid w:val="00636BD6"/>
    <w:rsid w:val="00644F60"/>
    <w:rsid w:val="00650695"/>
    <w:rsid w:val="00656EC4"/>
    <w:rsid w:val="006604E2"/>
    <w:rsid w:val="00660CF8"/>
    <w:rsid w:val="006611CA"/>
    <w:rsid w:val="006638F4"/>
    <w:rsid w:val="00676B4F"/>
    <w:rsid w:val="00677DB8"/>
    <w:rsid w:val="00682682"/>
    <w:rsid w:val="00683647"/>
    <w:rsid w:val="006857B4"/>
    <w:rsid w:val="006861B3"/>
    <w:rsid w:val="0069158D"/>
    <w:rsid w:val="00691FB2"/>
    <w:rsid w:val="006929F3"/>
    <w:rsid w:val="006951D4"/>
    <w:rsid w:val="0069537F"/>
    <w:rsid w:val="0069787C"/>
    <w:rsid w:val="0069792F"/>
    <w:rsid w:val="006A31A0"/>
    <w:rsid w:val="006A349E"/>
    <w:rsid w:val="006A4330"/>
    <w:rsid w:val="006A5A02"/>
    <w:rsid w:val="006A73C8"/>
    <w:rsid w:val="006A79B7"/>
    <w:rsid w:val="006B00F0"/>
    <w:rsid w:val="006B066B"/>
    <w:rsid w:val="006C0A53"/>
    <w:rsid w:val="006C5CFC"/>
    <w:rsid w:val="006C6034"/>
    <w:rsid w:val="006C6270"/>
    <w:rsid w:val="006C658B"/>
    <w:rsid w:val="006C75BA"/>
    <w:rsid w:val="006D12FA"/>
    <w:rsid w:val="006D413C"/>
    <w:rsid w:val="006E0774"/>
    <w:rsid w:val="006E1691"/>
    <w:rsid w:val="006E208B"/>
    <w:rsid w:val="006F2012"/>
    <w:rsid w:val="006F2865"/>
    <w:rsid w:val="00704025"/>
    <w:rsid w:val="00704E4A"/>
    <w:rsid w:val="007117B0"/>
    <w:rsid w:val="00713D45"/>
    <w:rsid w:val="00714154"/>
    <w:rsid w:val="00716EF1"/>
    <w:rsid w:val="00717275"/>
    <w:rsid w:val="007218F4"/>
    <w:rsid w:val="00722E6C"/>
    <w:rsid w:val="007238B9"/>
    <w:rsid w:val="00723A37"/>
    <w:rsid w:val="00724A6A"/>
    <w:rsid w:val="00724CED"/>
    <w:rsid w:val="007259AF"/>
    <w:rsid w:val="00734277"/>
    <w:rsid w:val="00744408"/>
    <w:rsid w:val="00750FCF"/>
    <w:rsid w:val="007603D6"/>
    <w:rsid w:val="0076271D"/>
    <w:rsid w:val="00767874"/>
    <w:rsid w:val="00774A0F"/>
    <w:rsid w:val="007771F5"/>
    <w:rsid w:val="00791570"/>
    <w:rsid w:val="0079177E"/>
    <w:rsid w:val="007966F7"/>
    <w:rsid w:val="00797D0B"/>
    <w:rsid w:val="00797D27"/>
    <w:rsid w:val="007A2A66"/>
    <w:rsid w:val="007A3354"/>
    <w:rsid w:val="007A4F77"/>
    <w:rsid w:val="007A68EA"/>
    <w:rsid w:val="007A716A"/>
    <w:rsid w:val="007B072F"/>
    <w:rsid w:val="007B135A"/>
    <w:rsid w:val="007C0A85"/>
    <w:rsid w:val="007C4E42"/>
    <w:rsid w:val="007D0C9C"/>
    <w:rsid w:val="007D540B"/>
    <w:rsid w:val="007E1630"/>
    <w:rsid w:val="007E2374"/>
    <w:rsid w:val="007E6CE0"/>
    <w:rsid w:val="007F1CC4"/>
    <w:rsid w:val="007F378D"/>
    <w:rsid w:val="007F5AC5"/>
    <w:rsid w:val="00802EC6"/>
    <w:rsid w:val="008034FC"/>
    <w:rsid w:val="00805C0C"/>
    <w:rsid w:val="008118A1"/>
    <w:rsid w:val="00812BEA"/>
    <w:rsid w:val="0081562E"/>
    <w:rsid w:val="0081691F"/>
    <w:rsid w:val="008207B1"/>
    <w:rsid w:val="008251D3"/>
    <w:rsid w:val="00827EB8"/>
    <w:rsid w:val="0083072C"/>
    <w:rsid w:val="00831463"/>
    <w:rsid w:val="00843905"/>
    <w:rsid w:val="008470C0"/>
    <w:rsid w:val="00847972"/>
    <w:rsid w:val="008520A8"/>
    <w:rsid w:val="0085797B"/>
    <w:rsid w:val="00865386"/>
    <w:rsid w:val="0087287D"/>
    <w:rsid w:val="00873FD4"/>
    <w:rsid w:val="00882779"/>
    <w:rsid w:val="008828BB"/>
    <w:rsid w:val="00883E38"/>
    <w:rsid w:val="00887EB3"/>
    <w:rsid w:val="00892584"/>
    <w:rsid w:val="0089289F"/>
    <w:rsid w:val="00893A3D"/>
    <w:rsid w:val="008A0147"/>
    <w:rsid w:val="008A5F60"/>
    <w:rsid w:val="008A605F"/>
    <w:rsid w:val="008A68B7"/>
    <w:rsid w:val="008A6B35"/>
    <w:rsid w:val="008B31A9"/>
    <w:rsid w:val="008B485C"/>
    <w:rsid w:val="008C1434"/>
    <w:rsid w:val="008C1E8C"/>
    <w:rsid w:val="008C45E0"/>
    <w:rsid w:val="008C46B5"/>
    <w:rsid w:val="008C4A9A"/>
    <w:rsid w:val="008C597A"/>
    <w:rsid w:val="008C5A17"/>
    <w:rsid w:val="008D337D"/>
    <w:rsid w:val="008D47B6"/>
    <w:rsid w:val="008D59CC"/>
    <w:rsid w:val="008E0D05"/>
    <w:rsid w:val="008F245B"/>
    <w:rsid w:val="008F2871"/>
    <w:rsid w:val="008F40BE"/>
    <w:rsid w:val="008F6EDE"/>
    <w:rsid w:val="009017E2"/>
    <w:rsid w:val="00901862"/>
    <w:rsid w:val="00902E00"/>
    <w:rsid w:val="00905047"/>
    <w:rsid w:val="00914132"/>
    <w:rsid w:val="009151D6"/>
    <w:rsid w:val="009207D6"/>
    <w:rsid w:val="0092081A"/>
    <w:rsid w:val="00921FBB"/>
    <w:rsid w:val="00924C9F"/>
    <w:rsid w:val="0092762E"/>
    <w:rsid w:val="00930C3B"/>
    <w:rsid w:val="00931D82"/>
    <w:rsid w:val="00941C1D"/>
    <w:rsid w:val="0094311C"/>
    <w:rsid w:val="00947B3E"/>
    <w:rsid w:val="00952B08"/>
    <w:rsid w:val="0095597A"/>
    <w:rsid w:val="0096068B"/>
    <w:rsid w:val="00960A1F"/>
    <w:rsid w:val="00963969"/>
    <w:rsid w:val="00963DE7"/>
    <w:rsid w:val="00966840"/>
    <w:rsid w:val="009673DE"/>
    <w:rsid w:val="00972D4E"/>
    <w:rsid w:val="00973E94"/>
    <w:rsid w:val="00973F90"/>
    <w:rsid w:val="00981BEB"/>
    <w:rsid w:val="009827FA"/>
    <w:rsid w:val="00982B42"/>
    <w:rsid w:val="0098482B"/>
    <w:rsid w:val="00984AD0"/>
    <w:rsid w:val="009867CC"/>
    <w:rsid w:val="00986E0F"/>
    <w:rsid w:val="00990A7B"/>
    <w:rsid w:val="009915D4"/>
    <w:rsid w:val="00992D46"/>
    <w:rsid w:val="00993714"/>
    <w:rsid w:val="00993F86"/>
    <w:rsid w:val="00997707"/>
    <w:rsid w:val="009A4244"/>
    <w:rsid w:val="009B0B13"/>
    <w:rsid w:val="009B278E"/>
    <w:rsid w:val="009B2D29"/>
    <w:rsid w:val="009B419F"/>
    <w:rsid w:val="009B4589"/>
    <w:rsid w:val="009B571C"/>
    <w:rsid w:val="009B660D"/>
    <w:rsid w:val="009C1C84"/>
    <w:rsid w:val="009C2C36"/>
    <w:rsid w:val="009D06EA"/>
    <w:rsid w:val="009D1823"/>
    <w:rsid w:val="009D2D86"/>
    <w:rsid w:val="009D7A22"/>
    <w:rsid w:val="009E0975"/>
    <w:rsid w:val="009E1202"/>
    <w:rsid w:val="009E2482"/>
    <w:rsid w:val="009E3EE8"/>
    <w:rsid w:val="009E7380"/>
    <w:rsid w:val="009F1158"/>
    <w:rsid w:val="009F6070"/>
    <w:rsid w:val="00A007E6"/>
    <w:rsid w:val="00A07C0B"/>
    <w:rsid w:val="00A16B09"/>
    <w:rsid w:val="00A2220D"/>
    <w:rsid w:val="00A26FDC"/>
    <w:rsid w:val="00A27367"/>
    <w:rsid w:val="00A27617"/>
    <w:rsid w:val="00A33821"/>
    <w:rsid w:val="00A345F6"/>
    <w:rsid w:val="00A35100"/>
    <w:rsid w:val="00A42D22"/>
    <w:rsid w:val="00A4384E"/>
    <w:rsid w:val="00A43FCC"/>
    <w:rsid w:val="00A47FD7"/>
    <w:rsid w:val="00A53720"/>
    <w:rsid w:val="00A542B8"/>
    <w:rsid w:val="00A6280E"/>
    <w:rsid w:val="00A6536B"/>
    <w:rsid w:val="00A66B1A"/>
    <w:rsid w:val="00A6710F"/>
    <w:rsid w:val="00A674B1"/>
    <w:rsid w:val="00A72209"/>
    <w:rsid w:val="00A745CB"/>
    <w:rsid w:val="00A754FA"/>
    <w:rsid w:val="00A758DF"/>
    <w:rsid w:val="00A81AF9"/>
    <w:rsid w:val="00A83A1E"/>
    <w:rsid w:val="00A86372"/>
    <w:rsid w:val="00A86FCF"/>
    <w:rsid w:val="00A87F37"/>
    <w:rsid w:val="00A905AD"/>
    <w:rsid w:val="00A9367C"/>
    <w:rsid w:val="00A93826"/>
    <w:rsid w:val="00AA12D8"/>
    <w:rsid w:val="00AA2498"/>
    <w:rsid w:val="00AA476B"/>
    <w:rsid w:val="00AA76A5"/>
    <w:rsid w:val="00AB039F"/>
    <w:rsid w:val="00AB0CD8"/>
    <w:rsid w:val="00AB0E59"/>
    <w:rsid w:val="00AB689D"/>
    <w:rsid w:val="00AC11AD"/>
    <w:rsid w:val="00AC70C3"/>
    <w:rsid w:val="00AD1750"/>
    <w:rsid w:val="00AD3C47"/>
    <w:rsid w:val="00AD5242"/>
    <w:rsid w:val="00AD5256"/>
    <w:rsid w:val="00AD56A2"/>
    <w:rsid w:val="00AD7D55"/>
    <w:rsid w:val="00AE1484"/>
    <w:rsid w:val="00AE296F"/>
    <w:rsid w:val="00AE2D4B"/>
    <w:rsid w:val="00AE393F"/>
    <w:rsid w:val="00AF0FB2"/>
    <w:rsid w:val="00AF1872"/>
    <w:rsid w:val="00AF6BBB"/>
    <w:rsid w:val="00AF6E0E"/>
    <w:rsid w:val="00B074EE"/>
    <w:rsid w:val="00B076F5"/>
    <w:rsid w:val="00B1556A"/>
    <w:rsid w:val="00B20B58"/>
    <w:rsid w:val="00B25EB1"/>
    <w:rsid w:val="00B26B17"/>
    <w:rsid w:val="00B277D8"/>
    <w:rsid w:val="00B31782"/>
    <w:rsid w:val="00B34013"/>
    <w:rsid w:val="00B37256"/>
    <w:rsid w:val="00B4024B"/>
    <w:rsid w:val="00B413FD"/>
    <w:rsid w:val="00B419A8"/>
    <w:rsid w:val="00B42AC6"/>
    <w:rsid w:val="00B43D6F"/>
    <w:rsid w:val="00B457F1"/>
    <w:rsid w:val="00B462EF"/>
    <w:rsid w:val="00B507BE"/>
    <w:rsid w:val="00B640F7"/>
    <w:rsid w:val="00B675CA"/>
    <w:rsid w:val="00B71B1C"/>
    <w:rsid w:val="00B74848"/>
    <w:rsid w:val="00B80126"/>
    <w:rsid w:val="00B807AF"/>
    <w:rsid w:val="00B83E0B"/>
    <w:rsid w:val="00B83FD1"/>
    <w:rsid w:val="00B8494A"/>
    <w:rsid w:val="00B87E97"/>
    <w:rsid w:val="00B90624"/>
    <w:rsid w:val="00B94581"/>
    <w:rsid w:val="00B96B19"/>
    <w:rsid w:val="00BA7C5A"/>
    <w:rsid w:val="00BB1B11"/>
    <w:rsid w:val="00BB2219"/>
    <w:rsid w:val="00BB27A4"/>
    <w:rsid w:val="00BC31AE"/>
    <w:rsid w:val="00BD217F"/>
    <w:rsid w:val="00BD4170"/>
    <w:rsid w:val="00BD52A2"/>
    <w:rsid w:val="00BE0826"/>
    <w:rsid w:val="00BE18D3"/>
    <w:rsid w:val="00BE1C5E"/>
    <w:rsid w:val="00BF6277"/>
    <w:rsid w:val="00C057F5"/>
    <w:rsid w:val="00C10FA2"/>
    <w:rsid w:val="00C11C19"/>
    <w:rsid w:val="00C1466A"/>
    <w:rsid w:val="00C14B8C"/>
    <w:rsid w:val="00C16D87"/>
    <w:rsid w:val="00C200B8"/>
    <w:rsid w:val="00C20A6A"/>
    <w:rsid w:val="00C20CA7"/>
    <w:rsid w:val="00C20DAD"/>
    <w:rsid w:val="00C20F66"/>
    <w:rsid w:val="00C218E4"/>
    <w:rsid w:val="00C22270"/>
    <w:rsid w:val="00C25F14"/>
    <w:rsid w:val="00C32962"/>
    <w:rsid w:val="00C34D57"/>
    <w:rsid w:val="00C36EC7"/>
    <w:rsid w:val="00C4154C"/>
    <w:rsid w:val="00C41D5A"/>
    <w:rsid w:val="00C4234B"/>
    <w:rsid w:val="00C426DC"/>
    <w:rsid w:val="00C434AE"/>
    <w:rsid w:val="00C45494"/>
    <w:rsid w:val="00C46F01"/>
    <w:rsid w:val="00C46F9B"/>
    <w:rsid w:val="00C50CC3"/>
    <w:rsid w:val="00C52EF5"/>
    <w:rsid w:val="00C53B30"/>
    <w:rsid w:val="00C53C33"/>
    <w:rsid w:val="00C54529"/>
    <w:rsid w:val="00C56E04"/>
    <w:rsid w:val="00C573F4"/>
    <w:rsid w:val="00C67AFB"/>
    <w:rsid w:val="00C70E6B"/>
    <w:rsid w:val="00C82A4E"/>
    <w:rsid w:val="00C82EAF"/>
    <w:rsid w:val="00C87CE6"/>
    <w:rsid w:val="00C909EE"/>
    <w:rsid w:val="00C91908"/>
    <w:rsid w:val="00C95C1D"/>
    <w:rsid w:val="00C95D5F"/>
    <w:rsid w:val="00C9717A"/>
    <w:rsid w:val="00CA111F"/>
    <w:rsid w:val="00CA16B1"/>
    <w:rsid w:val="00CA5A98"/>
    <w:rsid w:val="00CB6B95"/>
    <w:rsid w:val="00CB748C"/>
    <w:rsid w:val="00CC108E"/>
    <w:rsid w:val="00CC55D4"/>
    <w:rsid w:val="00CC58CE"/>
    <w:rsid w:val="00CD11F4"/>
    <w:rsid w:val="00CD241C"/>
    <w:rsid w:val="00CD2AA1"/>
    <w:rsid w:val="00CD5239"/>
    <w:rsid w:val="00CD5B21"/>
    <w:rsid w:val="00CD6A43"/>
    <w:rsid w:val="00CD7B4E"/>
    <w:rsid w:val="00CE1C4D"/>
    <w:rsid w:val="00CE1DE9"/>
    <w:rsid w:val="00CE4311"/>
    <w:rsid w:val="00CE5385"/>
    <w:rsid w:val="00CE58E3"/>
    <w:rsid w:val="00CE759F"/>
    <w:rsid w:val="00CF0160"/>
    <w:rsid w:val="00CF59F1"/>
    <w:rsid w:val="00D00BDA"/>
    <w:rsid w:val="00D04EE9"/>
    <w:rsid w:val="00D11605"/>
    <w:rsid w:val="00D1544F"/>
    <w:rsid w:val="00D1592D"/>
    <w:rsid w:val="00D15C04"/>
    <w:rsid w:val="00D24915"/>
    <w:rsid w:val="00D24CE0"/>
    <w:rsid w:val="00D2516E"/>
    <w:rsid w:val="00D26028"/>
    <w:rsid w:val="00D27459"/>
    <w:rsid w:val="00D30A70"/>
    <w:rsid w:val="00D31B88"/>
    <w:rsid w:val="00D32BC6"/>
    <w:rsid w:val="00D338DE"/>
    <w:rsid w:val="00D37471"/>
    <w:rsid w:val="00D40F42"/>
    <w:rsid w:val="00D41AD5"/>
    <w:rsid w:val="00D4200F"/>
    <w:rsid w:val="00D44954"/>
    <w:rsid w:val="00D46100"/>
    <w:rsid w:val="00D52BF0"/>
    <w:rsid w:val="00D53446"/>
    <w:rsid w:val="00D53556"/>
    <w:rsid w:val="00D5453E"/>
    <w:rsid w:val="00D566E4"/>
    <w:rsid w:val="00D6017A"/>
    <w:rsid w:val="00D61E45"/>
    <w:rsid w:val="00D624E9"/>
    <w:rsid w:val="00D64A0A"/>
    <w:rsid w:val="00D701C3"/>
    <w:rsid w:val="00D71581"/>
    <w:rsid w:val="00D81DA0"/>
    <w:rsid w:val="00D869FE"/>
    <w:rsid w:val="00D875B7"/>
    <w:rsid w:val="00D87C28"/>
    <w:rsid w:val="00D90C74"/>
    <w:rsid w:val="00D91F1D"/>
    <w:rsid w:val="00D94E5C"/>
    <w:rsid w:val="00DA0F53"/>
    <w:rsid w:val="00DA1B6F"/>
    <w:rsid w:val="00DA2A3D"/>
    <w:rsid w:val="00DA4909"/>
    <w:rsid w:val="00DA5E39"/>
    <w:rsid w:val="00DB0BB7"/>
    <w:rsid w:val="00DB28C0"/>
    <w:rsid w:val="00DB4F2A"/>
    <w:rsid w:val="00DB6E02"/>
    <w:rsid w:val="00DC1BA5"/>
    <w:rsid w:val="00DC46B7"/>
    <w:rsid w:val="00DC4739"/>
    <w:rsid w:val="00DD67FD"/>
    <w:rsid w:val="00DD751C"/>
    <w:rsid w:val="00DD7BD3"/>
    <w:rsid w:val="00DE0802"/>
    <w:rsid w:val="00DE0C59"/>
    <w:rsid w:val="00DE127A"/>
    <w:rsid w:val="00DE4959"/>
    <w:rsid w:val="00DE4A80"/>
    <w:rsid w:val="00DF00C2"/>
    <w:rsid w:val="00DF19C4"/>
    <w:rsid w:val="00DF3DEA"/>
    <w:rsid w:val="00DF3E19"/>
    <w:rsid w:val="00DF7860"/>
    <w:rsid w:val="00E04620"/>
    <w:rsid w:val="00E04B35"/>
    <w:rsid w:val="00E0711B"/>
    <w:rsid w:val="00E100BF"/>
    <w:rsid w:val="00E10494"/>
    <w:rsid w:val="00E16F8F"/>
    <w:rsid w:val="00E23678"/>
    <w:rsid w:val="00E23F18"/>
    <w:rsid w:val="00E241BD"/>
    <w:rsid w:val="00E26F81"/>
    <w:rsid w:val="00E327C3"/>
    <w:rsid w:val="00E346F3"/>
    <w:rsid w:val="00E3671E"/>
    <w:rsid w:val="00E41FB5"/>
    <w:rsid w:val="00E44A8D"/>
    <w:rsid w:val="00E45B38"/>
    <w:rsid w:val="00E50B4C"/>
    <w:rsid w:val="00E50C49"/>
    <w:rsid w:val="00E54EEB"/>
    <w:rsid w:val="00E62B66"/>
    <w:rsid w:val="00E64B8E"/>
    <w:rsid w:val="00E66604"/>
    <w:rsid w:val="00E713D1"/>
    <w:rsid w:val="00E73288"/>
    <w:rsid w:val="00E73E0C"/>
    <w:rsid w:val="00E74361"/>
    <w:rsid w:val="00E74C52"/>
    <w:rsid w:val="00E768BC"/>
    <w:rsid w:val="00E77622"/>
    <w:rsid w:val="00E837B1"/>
    <w:rsid w:val="00E96091"/>
    <w:rsid w:val="00E96124"/>
    <w:rsid w:val="00EA016D"/>
    <w:rsid w:val="00EA5495"/>
    <w:rsid w:val="00EA6C7D"/>
    <w:rsid w:val="00EB101F"/>
    <w:rsid w:val="00EB58F6"/>
    <w:rsid w:val="00EC793C"/>
    <w:rsid w:val="00ED1773"/>
    <w:rsid w:val="00ED239C"/>
    <w:rsid w:val="00ED28FD"/>
    <w:rsid w:val="00ED61EC"/>
    <w:rsid w:val="00ED7817"/>
    <w:rsid w:val="00EE014F"/>
    <w:rsid w:val="00EE1580"/>
    <w:rsid w:val="00EE221E"/>
    <w:rsid w:val="00EE5694"/>
    <w:rsid w:val="00F00324"/>
    <w:rsid w:val="00F0171E"/>
    <w:rsid w:val="00F02CD7"/>
    <w:rsid w:val="00F112B4"/>
    <w:rsid w:val="00F11461"/>
    <w:rsid w:val="00F17831"/>
    <w:rsid w:val="00F23B40"/>
    <w:rsid w:val="00F25ABA"/>
    <w:rsid w:val="00F265D6"/>
    <w:rsid w:val="00F32120"/>
    <w:rsid w:val="00F374BA"/>
    <w:rsid w:val="00F405B0"/>
    <w:rsid w:val="00F446C3"/>
    <w:rsid w:val="00F45B20"/>
    <w:rsid w:val="00F47A66"/>
    <w:rsid w:val="00F53654"/>
    <w:rsid w:val="00F64C53"/>
    <w:rsid w:val="00F662F4"/>
    <w:rsid w:val="00F67FC8"/>
    <w:rsid w:val="00F70122"/>
    <w:rsid w:val="00F70494"/>
    <w:rsid w:val="00F7064D"/>
    <w:rsid w:val="00F70D20"/>
    <w:rsid w:val="00F76D04"/>
    <w:rsid w:val="00F852D0"/>
    <w:rsid w:val="00F95156"/>
    <w:rsid w:val="00FA2E05"/>
    <w:rsid w:val="00FA3FB2"/>
    <w:rsid w:val="00FA5E11"/>
    <w:rsid w:val="00FB71C4"/>
    <w:rsid w:val="00FC339B"/>
    <w:rsid w:val="00FC35E8"/>
    <w:rsid w:val="00FD3D61"/>
    <w:rsid w:val="00FD54F4"/>
    <w:rsid w:val="00FD5E2A"/>
    <w:rsid w:val="00FE4B77"/>
    <w:rsid w:val="00FE5846"/>
    <w:rsid w:val="00FF2370"/>
    <w:rsid w:val="00FF2DCB"/>
    <w:rsid w:val="05B3708A"/>
    <w:rsid w:val="06823249"/>
    <w:rsid w:val="12F15C6C"/>
    <w:rsid w:val="154F42C8"/>
    <w:rsid w:val="1DEB71F5"/>
    <w:rsid w:val="1EAF3108"/>
    <w:rsid w:val="1FA17A98"/>
    <w:rsid w:val="1FB05D33"/>
    <w:rsid w:val="1FBF3122"/>
    <w:rsid w:val="218C0D99"/>
    <w:rsid w:val="23B52746"/>
    <w:rsid w:val="265A480B"/>
    <w:rsid w:val="28D05720"/>
    <w:rsid w:val="2A44317B"/>
    <w:rsid w:val="2B500DA4"/>
    <w:rsid w:val="2BC36C77"/>
    <w:rsid w:val="2E2C7F5C"/>
    <w:rsid w:val="30683E50"/>
    <w:rsid w:val="32064287"/>
    <w:rsid w:val="34953CDA"/>
    <w:rsid w:val="35022CD3"/>
    <w:rsid w:val="39CB0EBB"/>
    <w:rsid w:val="3BB147D2"/>
    <w:rsid w:val="3E2B0A09"/>
    <w:rsid w:val="3EF86589"/>
    <w:rsid w:val="3FBF0FBD"/>
    <w:rsid w:val="48785587"/>
    <w:rsid w:val="54F47187"/>
    <w:rsid w:val="573C3A8D"/>
    <w:rsid w:val="5A3029DA"/>
    <w:rsid w:val="5ABC4C5E"/>
    <w:rsid w:val="5F3535B6"/>
    <w:rsid w:val="69AE659C"/>
    <w:rsid w:val="6EE0627C"/>
    <w:rsid w:val="74C5141F"/>
    <w:rsid w:val="7A9A43D1"/>
    <w:rsid w:val="7BC21317"/>
    <w:rsid w:val="7CE05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semiHidden/>
    <w:unhideWhenUsed/>
    <w:qFormat/>
    <w:uiPriority w:val="99"/>
    <w:rPr>
      <w:kern w:val="0"/>
      <w:sz w:val="18"/>
      <w:szCs w:val="18"/>
    </w:rPr>
  </w:style>
  <w:style w:type="paragraph" w:styleId="4">
    <w:name w:val="footer"/>
    <w:basedOn w:val="1"/>
    <w:link w:val="13"/>
    <w:unhideWhenUsed/>
    <w:qFormat/>
    <w:uiPriority w:val="99"/>
    <w:pPr>
      <w:tabs>
        <w:tab w:val="center" w:pos="4153"/>
        <w:tab w:val="right" w:pos="8306"/>
      </w:tabs>
      <w:snapToGrid w:val="0"/>
      <w:jc w:val="left"/>
    </w:pPr>
    <w:rPr>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0"/>
    <w:pPr>
      <w:widowControl/>
      <w:spacing w:before="75" w:after="75"/>
      <w:jc w:val="left"/>
    </w:pPr>
    <w:rPr>
      <w:rFonts w:ascii="宋体" w:hAnsi="宋体" w:cs="宋体"/>
      <w:kern w:val="0"/>
      <w:sz w:val="24"/>
      <w:szCs w:val="24"/>
    </w:rPr>
  </w:style>
  <w:style w:type="paragraph" w:styleId="7">
    <w:name w:val="annotation subject"/>
    <w:basedOn w:val="2"/>
    <w:next w:val="2"/>
    <w:link w:val="16"/>
    <w:semiHidden/>
    <w:unhideWhenUsed/>
    <w:qFormat/>
    <w:uiPriority w:val="99"/>
    <w:rPr>
      <w:b/>
      <w:bCs/>
      <w:kern w:val="0"/>
      <w:sz w:val="20"/>
      <w:szCs w:val="20"/>
    </w:rPr>
  </w:style>
  <w:style w:type="character" w:styleId="10">
    <w:name w:val="Strong"/>
    <w:qFormat/>
    <w:uiPriority w:val="0"/>
    <w:rPr>
      <w:b/>
      <w:bCs/>
    </w:rPr>
  </w:style>
  <w:style w:type="character" w:styleId="11">
    <w:name w:val="annotation reference"/>
    <w:semiHidden/>
    <w:unhideWhenUsed/>
    <w:qFormat/>
    <w:uiPriority w:val="0"/>
    <w:rPr>
      <w:sz w:val="21"/>
      <w:szCs w:val="21"/>
    </w:rPr>
  </w:style>
  <w:style w:type="character" w:customStyle="1" w:styleId="12">
    <w:name w:val="页眉 字符"/>
    <w:link w:val="5"/>
    <w:qFormat/>
    <w:uiPriority w:val="99"/>
    <w:rPr>
      <w:sz w:val="18"/>
      <w:szCs w:val="18"/>
    </w:rPr>
  </w:style>
  <w:style w:type="character" w:customStyle="1" w:styleId="13">
    <w:name w:val="页脚 字符"/>
    <w:link w:val="4"/>
    <w:qFormat/>
    <w:uiPriority w:val="99"/>
    <w:rPr>
      <w:sz w:val="18"/>
      <w:szCs w:val="18"/>
    </w:rPr>
  </w:style>
  <w:style w:type="character" w:customStyle="1" w:styleId="14">
    <w:name w:val="批注框文本 字符"/>
    <w:link w:val="3"/>
    <w:semiHidden/>
    <w:qFormat/>
    <w:uiPriority w:val="99"/>
    <w:rPr>
      <w:sz w:val="18"/>
      <w:szCs w:val="18"/>
    </w:rPr>
  </w:style>
  <w:style w:type="character" w:customStyle="1" w:styleId="15">
    <w:name w:val="批注文字 字符"/>
    <w:basedOn w:val="9"/>
    <w:link w:val="2"/>
    <w:qFormat/>
    <w:uiPriority w:val="99"/>
  </w:style>
  <w:style w:type="character" w:customStyle="1" w:styleId="16">
    <w:name w:val="批注主题 字符"/>
    <w:link w:val="7"/>
    <w:semiHidden/>
    <w:qFormat/>
    <w:uiPriority w:val="99"/>
    <w:rPr>
      <w:b/>
      <w:bCs/>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 w:type="paragraph" w:styleId="18">
    <w:name w:val="List Paragraph"/>
    <w:basedOn w:val="1"/>
    <w:qFormat/>
    <w:uiPriority w:val="34"/>
    <w:pPr>
      <w:ind w:firstLine="420" w:firstLineChars="200"/>
    </w:pPr>
  </w:style>
  <w:style w:type="paragraph" w:customStyle="1" w:styleId="19">
    <w:name w:val="Char Char Char1 Char"/>
    <w:basedOn w:val="1"/>
    <w:next w:val="1"/>
    <w:qFormat/>
    <w:uiPriority w:val="0"/>
    <w:pPr>
      <w:widowControl/>
      <w:spacing w:before="120" w:after="120"/>
      <w:jc w:val="left"/>
    </w:pPr>
    <w:rPr>
      <w:rFonts w:ascii="Verdana" w:hAnsi="Verdana" w:eastAsia="Batang"/>
      <w:kern w:val="0"/>
      <w:sz w:val="18"/>
      <w:szCs w:val="20"/>
      <w:lang w:eastAsia="en-US"/>
    </w:rPr>
  </w:style>
  <w:style w:type="character" w:customStyle="1" w:styleId="20">
    <w:name w:val="批注文字 Char"/>
    <w:qFormat/>
    <w:uiPriority w:val="99"/>
    <w:rPr>
      <w:kern w:val="2"/>
      <w:sz w:val="21"/>
      <w:szCs w:val="22"/>
    </w:rPr>
  </w:style>
  <w:style w:type="paragraph" w:customStyle="1" w:styleId="21">
    <w:name w:val="修订2"/>
    <w:hidden/>
    <w:semiHidden/>
    <w:qFormat/>
    <w:uiPriority w:val="99"/>
    <w:rPr>
      <w:rFonts w:ascii="Calibri" w:hAnsi="Calibri" w:eastAsia="宋体" w:cs="Times New Roman"/>
      <w:kern w:val="2"/>
      <w:sz w:val="21"/>
      <w:szCs w:val="22"/>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F96D-112A-44FE-99FC-BA1949BB1A1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1208</Words>
  <Characters>6886</Characters>
  <Lines>57</Lines>
  <Paragraphs>16</Paragraphs>
  <TotalTime>7</TotalTime>
  <ScaleCrop>false</ScaleCrop>
  <LinksUpToDate>false</LinksUpToDate>
  <CharactersWithSpaces>8078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2022-12-01T03:22:00Z</dcterms:created>
  <dc:creator>XL</dc:creator>
  <cp:lastModifiedBy>王晋京</cp:lastModifiedBy>
  <cp:lastPrinted>2019-01-09T06:29:00Z</cp:lastPrinted>
  <dcterms:modified xsi:type="dcterms:W3CDTF">2023-01-11T01:41:13Z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A80ACB84ADA546ADA36FBCED129D42C3</vt:lpwstr>
  </property>
</Properties>
</file>