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val="0"/>
        <w:overflowPunct w:val="0"/>
        <w:autoSpaceDE w:val="0"/>
        <w:autoSpaceDN w:val="0"/>
        <w:spacing w:line="220" w:lineRule="exact"/>
        <w:ind w:firstLine="240" w:firstLineChars="200"/>
        <w:jc w:val="center"/>
        <w:textAlignment w:val="top"/>
        <w:rPr>
          <w:rFonts w:ascii="微软雅黑" w:hAnsi="微软雅黑" w:eastAsia="微软雅黑"/>
          <w:b/>
          <w:sz w:val="12"/>
          <w:szCs w:val="12"/>
        </w:rPr>
      </w:pPr>
    </w:p>
    <w:p>
      <w:pPr>
        <w:kinsoku w:val="0"/>
        <w:overflowPunct w:val="0"/>
        <w:autoSpaceDE w:val="0"/>
        <w:autoSpaceDN w:val="0"/>
        <w:spacing w:line="220" w:lineRule="exact"/>
        <w:ind w:firstLine="240" w:firstLineChars="200"/>
        <w:jc w:val="center"/>
        <w:textAlignment w:val="top"/>
        <w:rPr>
          <w:rFonts w:ascii="微软雅黑" w:hAnsi="微软雅黑" w:eastAsia="微软雅黑"/>
          <w:b/>
          <w:sz w:val="12"/>
          <w:szCs w:val="12"/>
        </w:rPr>
      </w:pPr>
      <w:r>
        <w:rPr>
          <w:rFonts w:hint="eastAsia" w:ascii="微软雅黑" w:hAnsi="微软雅黑" w:eastAsia="微软雅黑"/>
          <w:b/>
          <w:sz w:val="12"/>
          <w:szCs w:val="12"/>
        </w:rPr>
        <w:t>齐鲁银行信用卡场景分期业务合约</w:t>
      </w:r>
    </w:p>
    <w:p>
      <w:pPr>
        <w:kinsoku w:val="0"/>
        <w:overflowPunct w:val="0"/>
        <w:autoSpaceDE w:val="0"/>
        <w:autoSpaceDN w:val="0"/>
        <w:spacing w:line="220" w:lineRule="exact"/>
        <w:ind w:firstLine="240" w:firstLineChars="200"/>
        <w:jc w:val="center"/>
        <w:textAlignment w:val="top"/>
        <w:rPr>
          <w:rFonts w:ascii="微软雅黑" w:hAnsi="微软雅黑" w:eastAsia="微软雅黑"/>
          <w:b/>
          <w:sz w:val="12"/>
          <w:szCs w:val="12"/>
        </w:rPr>
      </w:pPr>
      <w:r>
        <w:rPr>
          <w:rFonts w:hint="eastAsia" w:ascii="微软雅黑" w:hAnsi="微软雅黑" w:eastAsia="微软雅黑"/>
          <w:b/>
          <w:sz w:val="12"/>
          <w:szCs w:val="12"/>
        </w:rPr>
        <w:t>(第</w:t>
      </w:r>
      <w:r>
        <w:rPr>
          <w:rFonts w:hint="eastAsia" w:ascii="微软雅黑" w:hAnsi="微软雅黑" w:eastAsia="微软雅黑"/>
          <w:b/>
          <w:sz w:val="12"/>
          <w:szCs w:val="12"/>
          <w:lang w:eastAsia="zh-CN"/>
        </w:rPr>
        <w:t>五</w:t>
      </w:r>
      <w:bookmarkStart w:id="0" w:name="_GoBack"/>
      <w:bookmarkEnd w:id="0"/>
      <w:r>
        <w:rPr>
          <w:rFonts w:hint="eastAsia" w:ascii="微软雅黑" w:hAnsi="微软雅黑" w:eastAsia="微软雅黑"/>
          <w:b/>
          <w:sz w:val="12"/>
          <w:szCs w:val="12"/>
        </w:rPr>
        <w:t>版)</w:t>
      </w:r>
    </w:p>
    <w:p>
      <w:pPr>
        <w:kinsoku w:val="0"/>
        <w:overflowPunct w:val="0"/>
        <w:autoSpaceDE w:val="0"/>
        <w:autoSpaceDN w:val="0"/>
        <w:spacing w:line="220" w:lineRule="exact"/>
        <w:textAlignment w:val="top"/>
        <w:rPr>
          <w:rFonts w:ascii="微软雅黑" w:hAnsi="微软雅黑" w:eastAsia="微软雅黑"/>
          <w:sz w:val="12"/>
          <w:szCs w:val="12"/>
        </w:rPr>
      </w:pPr>
      <w:r>
        <w:rPr>
          <w:rFonts w:hint="eastAsia" w:ascii="微软雅黑" w:hAnsi="微软雅黑" w:eastAsia="微软雅黑"/>
          <w:sz w:val="12"/>
          <w:szCs w:val="12"/>
        </w:rPr>
        <w:t>齐鲁银行股份有限公司（以下简称“甲方”）</w:t>
      </w:r>
    </w:p>
    <w:p>
      <w:pPr>
        <w:kinsoku w:val="0"/>
        <w:overflowPunct w:val="0"/>
        <w:autoSpaceDE w:val="0"/>
        <w:autoSpaceDN w:val="0"/>
        <w:spacing w:line="220" w:lineRule="exact"/>
        <w:textAlignment w:val="top"/>
        <w:rPr>
          <w:rFonts w:ascii="微软雅黑" w:hAnsi="微软雅黑" w:eastAsia="微软雅黑"/>
          <w:sz w:val="12"/>
          <w:szCs w:val="12"/>
        </w:rPr>
      </w:pPr>
      <w:r>
        <w:rPr>
          <w:rFonts w:hint="eastAsia" w:ascii="微软雅黑" w:hAnsi="微软雅黑" w:eastAsia="微软雅黑"/>
          <w:sz w:val="12"/>
          <w:szCs w:val="12"/>
        </w:rPr>
        <w:t>齐鲁银行信用卡场景分期业务申请人（以下简称“乙方”）</w:t>
      </w:r>
    </w:p>
    <w:p>
      <w:pPr>
        <w:kinsoku w:val="0"/>
        <w:overflowPunct w:val="0"/>
        <w:autoSpaceDE w:val="0"/>
        <w:autoSpaceDN w:val="0"/>
        <w:spacing w:line="220" w:lineRule="exact"/>
        <w:textAlignment w:val="top"/>
        <w:rPr>
          <w:rFonts w:ascii="微软雅黑" w:hAnsi="微软雅黑" w:eastAsia="微软雅黑"/>
          <w:b/>
          <w:sz w:val="12"/>
          <w:szCs w:val="12"/>
        </w:rPr>
      </w:pPr>
      <w:r>
        <w:rPr>
          <w:rFonts w:hint="eastAsia" w:ascii="微软雅黑" w:hAnsi="微软雅黑" w:eastAsia="微软雅黑"/>
          <w:b/>
          <w:sz w:val="12"/>
          <w:szCs w:val="12"/>
        </w:rPr>
        <w:t>第一条  申请</w:t>
      </w:r>
    </w:p>
    <w:p>
      <w:pPr>
        <w:kinsoku w:val="0"/>
        <w:overflowPunct w:val="0"/>
        <w:autoSpaceDE w:val="0"/>
        <w:autoSpaceDN w:val="0"/>
        <w:spacing w:line="220" w:lineRule="exact"/>
        <w:textAlignment w:val="top"/>
        <w:rPr>
          <w:rFonts w:ascii="微软雅黑" w:hAnsi="微软雅黑" w:eastAsia="微软雅黑"/>
          <w:sz w:val="12"/>
          <w:szCs w:val="12"/>
        </w:rPr>
      </w:pPr>
      <w:r>
        <w:rPr>
          <w:rFonts w:hint="eastAsia" w:ascii="微软雅黑" w:hAnsi="微软雅黑" w:eastAsia="微软雅黑"/>
          <w:sz w:val="12"/>
          <w:szCs w:val="12"/>
        </w:rPr>
        <w:t>1.乙方向甲方申请办理齐鲁银行信用卡场景分期业务，用于支付乙方购买甲方指定场景下的产品或服务所需支付的全部或部分款项，指定场景包括购买汽车、装修、教育、医疗、美容、婚庆、保险、旅游、家具、电器等合法商品或服务的消费场景。</w:t>
      </w:r>
    </w:p>
    <w:p>
      <w:pPr>
        <w:kinsoku w:val="0"/>
        <w:overflowPunct w:val="0"/>
        <w:autoSpaceDE w:val="0"/>
        <w:autoSpaceDN w:val="0"/>
        <w:spacing w:line="220" w:lineRule="exact"/>
        <w:textAlignment w:val="top"/>
        <w:rPr>
          <w:rFonts w:ascii="微软雅黑" w:hAnsi="微软雅黑" w:eastAsia="微软雅黑"/>
          <w:b/>
          <w:sz w:val="12"/>
          <w:szCs w:val="12"/>
        </w:rPr>
      </w:pPr>
      <w:r>
        <w:rPr>
          <w:rFonts w:hint="eastAsia" w:ascii="微软雅黑" w:hAnsi="微软雅黑" w:eastAsia="微软雅黑"/>
          <w:b/>
          <w:sz w:val="12"/>
          <w:szCs w:val="12"/>
        </w:rPr>
        <w:t>2.乙方保证向甲方提供的所有申请资料真实、准确、合法、有效。乙方同意并授权甲方在审核其信用卡申请或进行后续风险管理过程中，通过中国人民银行金融信用信息基础数据库等依法设立的征信机构及其他相关合法机构查询乙方资产、资信、个人信用信息及担保等情况，并保留相关资料。查得的征信信息用于本业务相关的信用卡申请、贷后管理、异议核查、分期业务授信管理等。甲方对收集、使用的乙方个人信息承担保密责任，但法律另有规定或者是因乙方的原因造成甲方行使正当追索权利的除外，甲方为实现债权及配合相关方追索过程中（包括但不限于债权转让、配合担保人追偿等），甲方有权向任何存在或潜在的第三方披露乙方（共有人、担保人）的有关信息或转移相关资料。乙方亦同意并授权甲方将本人的信用信息及担保情况提供给中国人民银行金融信用信息基础数据库及信贷征信业监督管理部门批准设立的其他信用数据库。</w:t>
      </w:r>
    </w:p>
    <w:p>
      <w:pPr>
        <w:kinsoku w:val="0"/>
        <w:overflowPunct w:val="0"/>
        <w:autoSpaceDE w:val="0"/>
        <w:autoSpaceDN w:val="0"/>
        <w:spacing w:line="220" w:lineRule="exact"/>
        <w:textAlignment w:val="top"/>
        <w:rPr>
          <w:rFonts w:ascii="微软雅黑" w:hAnsi="微软雅黑" w:eastAsia="微软雅黑"/>
          <w:b/>
          <w:sz w:val="12"/>
          <w:szCs w:val="12"/>
        </w:rPr>
      </w:pPr>
      <w:r>
        <w:rPr>
          <w:rFonts w:hint="eastAsia" w:ascii="微软雅黑" w:hAnsi="微软雅黑" w:eastAsia="微软雅黑"/>
          <w:b/>
          <w:sz w:val="12"/>
          <w:szCs w:val="12"/>
        </w:rPr>
        <w:t>3.乙方有义务配合甲方的调查，并按甲方要求及时提供相关检附资料，包括但不限于身份证明、工作证明、收入证明（银行工资流水、个人社保或公积金缴纳证明等）、产品或</w:t>
      </w:r>
      <w:r>
        <w:rPr>
          <w:rFonts w:ascii="微软雅黑" w:hAnsi="微软雅黑" w:eastAsia="微软雅黑"/>
          <w:b/>
          <w:sz w:val="12"/>
          <w:szCs w:val="12"/>
        </w:rPr>
        <w:t>服务的</w:t>
      </w:r>
      <w:r>
        <w:rPr>
          <w:rFonts w:hint="eastAsia" w:ascii="微软雅黑" w:hAnsi="微软雅黑" w:eastAsia="微软雅黑"/>
          <w:b/>
          <w:sz w:val="12"/>
          <w:szCs w:val="12"/>
        </w:rPr>
        <w:t>购买协议、首付款收据（发票）、房产证明文件等，否则，由此造成的损失由乙方承担。甲方有权对乙方资格进行审核并不归还乙方所提交的审核资料。</w:t>
      </w:r>
    </w:p>
    <w:p>
      <w:pPr>
        <w:kinsoku w:val="0"/>
        <w:overflowPunct w:val="0"/>
        <w:autoSpaceDE w:val="0"/>
        <w:autoSpaceDN w:val="0"/>
        <w:spacing w:line="220" w:lineRule="exact"/>
        <w:textAlignment w:val="top"/>
        <w:rPr>
          <w:rFonts w:ascii="微软雅黑" w:hAnsi="微软雅黑" w:eastAsia="微软雅黑"/>
          <w:b/>
          <w:sz w:val="12"/>
          <w:szCs w:val="12"/>
        </w:rPr>
      </w:pPr>
      <w:r>
        <w:rPr>
          <w:rFonts w:hint="eastAsia" w:ascii="微软雅黑" w:hAnsi="微软雅黑" w:eastAsia="微软雅黑"/>
          <w:b/>
          <w:sz w:val="12"/>
          <w:szCs w:val="12"/>
        </w:rPr>
        <w:t>4.乙方同意并授权甲方出于为乙方提供综合化服务的目的，视情况向甲方控股子公司、发卡机构的服务机构、代理人、外包作业机构以及其他甲方认为必要的业务合作机构提供乙方个人信息和本行信用卡信息。甲方承诺将要求接收甲方披露资料的合作机构对乙方个人信息和信用卡信息承担保密责任。</w:t>
      </w:r>
    </w:p>
    <w:p>
      <w:pPr>
        <w:kinsoku w:val="0"/>
        <w:overflowPunct w:val="0"/>
        <w:autoSpaceDE w:val="0"/>
        <w:autoSpaceDN w:val="0"/>
        <w:spacing w:line="220" w:lineRule="exact"/>
        <w:textAlignment w:val="top"/>
        <w:rPr>
          <w:rFonts w:ascii="微软雅黑" w:hAnsi="微软雅黑" w:eastAsia="微软雅黑"/>
          <w:b/>
          <w:sz w:val="12"/>
          <w:szCs w:val="12"/>
        </w:rPr>
      </w:pPr>
      <w:r>
        <w:rPr>
          <w:rFonts w:hint="eastAsia" w:ascii="微软雅黑" w:hAnsi="微软雅黑" w:eastAsia="微软雅黑"/>
          <w:b/>
          <w:sz w:val="12"/>
          <w:szCs w:val="12"/>
        </w:rPr>
        <w:t>5.乙方申请场景分期的期数，每账单月为1期，不同期数手续费标准不同，具体的手续费费率在乙方申请场景分期业务时通过书面、短信、网上银行、手机银行、自助终端等方式进行确认，收费标准参见齐鲁银行官方网站（网址为：h</w:t>
      </w:r>
      <w:r>
        <w:rPr>
          <w:rFonts w:ascii="微软雅黑" w:hAnsi="微软雅黑" w:eastAsia="微软雅黑"/>
          <w:b/>
          <w:sz w:val="12"/>
          <w:szCs w:val="12"/>
        </w:rPr>
        <w:t>ttp://www.qlbchina.com</w:t>
      </w:r>
      <w:r>
        <w:rPr>
          <w:rFonts w:hint="eastAsia" w:ascii="微软雅黑" w:hAnsi="微软雅黑" w:eastAsia="微软雅黑"/>
          <w:b/>
          <w:sz w:val="12"/>
          <w:szCs w:val="12"/>
        </w:rPr>
        <w:t>）。</w:t>
      </w:r>
    </w:p>
    <w:p>
      <w:pPr>
        <w:kinsoku w:val="0"/>
        <w:overflowPunct w:val="0"/>
        <w:autoSpaceDE w:val="0"/>
        <w:autoSpaceDN w:val="0"/>
        <w:spacing w:line="220" w:lineRule="exact"/>
        <w:textAlignment w:val="top"/>
        <w:rPr>
          <w:rFonts w:ascii="微软雅黑" w:hAnsi="微软雅黑" w:eastAsia="微软雅黑"/>
          <w:b/>
          <w:sz w:val="12"/>
          <w:szCs w:val="12"/>
        </w:rPr>
      </w:pPr>
      <w:r>
        <w:rPr>
          <w:rFonts w:hint="eastAsia" w:ascii="微软雅黑" w:hAnsi="微软雅黑" w:eastAsia="微软雅黑"/>
          <w:b/>
          <w:sz w:val="12"/>
          <w:szCs w:val="12"/>
        </w:rPr>
        <w:t>6.乙方知晓并同意：申请齐鲁银行信用卡场景分期业务通过与否及场景分期申请期数、申请金额以甲方的最终审核结果为准。</w:t>
      </w:r>
      <w:r>
        <w:rPr>
          <w:rFonts w:hint="eastAsia" w:ascii="微软雅黑" w:hAnsi="微软雅黑" w:eastAsia="微软雅黑"/>
          <w:sz w:val="12"/>
          <w:szCs w:val="12"/>
        </w:rPr>
        <w:t>甲方对乙方的场景分期业务审核结束后，将通过电子（包括但不限于网银、手机银行、短信）、纸质、口头等方式之一及时将审核结果通知乙方。</w:t>
      </w:r>
      <w:r>
        <w:rPr>
          <w:rFonts w:hint="eastAsia" w:ascii="微软雅黑" w:hAnsi="微软雅黑" w:eastAsia="微软雅黑"/>
          <w:b/>
          <w:sz w:val="12"/>
          <w:szCs w:val="12"/>
        </w:rPr>
        <w:t>乙方申请场景分期业务一经审核通过，不能对分期金额、分期期数等进行修改。</w:t>
      </w:r>
    </w:p>
    <w:p>
      <w:pPr>
        <w:kinsoku w:val="0"/>
        <w:overflowPunct w:val="0"/>
        <w:autoSpaceDE w:val="0"/>
        <w:autoSpaceDN w:val="0"/>
        <w:spacing w:line="220" w:lineRule="exact"/>
        <w:textAlignment w:val="top"/>
        <w:rPr>
          <w:rFonts w:ascii="微软雅黑" w:hAnsi="微软雅黑" w:eastAsia="微软雅黑"/>
          <w:b/>
          <w:sz w:val="12"/>
          <w:szCs w:val="12"/>
        </w:rPr>
      </w:pPr>
      <w:r>
        <w:rPr>
          <w:rFonts w:hint="eastAsia" w:ascii="微软雅黑" w:hAnsi="微软雅黑" w:eastAsia="微软雅黑"/>
          <w:b/>
          <w:sz w:val="12"/>
          <w:szCs w:val="12"/>
        </w:rPr>
        <w:t>7.如因非甲方原因造成场景分期业务交易失败，导致甲方无法放款，则甲方有权拒绝垫付款项和拒绝处理乙方的保险理赔事宜，并有权取消乙方的场景分期业务，所造成的损失由乙方自行承担。</w:t>
      </w:r>
    </w:p>
    <w:p>
      <w:pPr>
        <w:kinsoku w:val="0"/>
        <w:overflowPunct w:val="0"/>
        <w:autoSpaceDE w:val="0"/>
        <w:autoSpaceDN w:val="0"/>
        <w:spacing w:line="220" w:lineRule="exact"/>
        <w:textAlignment w:val="top"/>
        <w:rPr>
          <w:rFonts w:ascii="微软雅黑" w:hAnsi="微软雅黑" w:eastAsia="微软雅黑"/>
          <w:b/>
          <w:sz w:val="12"/>
          <w:szCs w:val="12"/>
        </w:rPr>
      </w:pPr>
      <w:r>
        <w:rPr>
          <w:rFonts w:hint="eastAsia" w:ascii="微软雅黑" w:hAnsi="微软雅黑" w:eastAsia="微软雅黑"/>
          <w:b/>
          <w:sz w:val="12"/>
          <w:szCs w:val="12"/>
        </w:rPr>
        <w:t>第二条  使用、收费及还款</w:t>
      </w:r>
    </w:p>
    <w:p>
      <w:pPr>
        <w:kinsoku w:val="0"/>
        <w:overflowPunct w:val="0"/>
        <w:autoSpaceDE w:val="0"/>
        <w:autoSpaceDN w:val="0"/>
        <w:spacing w:line="220" w:lineRule="exact"/>
        <w:textAlignment w:val="top"/>
        <w:rPr>
          <w:rFonts w:ascii="微软雅黑" w:hAnsi="微软雅黑" w:eastAsia="微软雅黑"/>
          <w:b/>
          <w:sz w:val="12"/>
          <w:szCs w:val="12"/>
        </w:rPr>
      </w:pPr>
      <w:r>
        <w:rPr>
          <w:rFonts w:hint="eastAsia" w:ascii="微软雅黑" w:hAnsi="微软雅黑" w:eastAsia="微软雅黑"/>
          <w:b/>
          <w:sz w:val="12"/>
          <w:szCs w:val="12"/>
        </w:rPr>
        <w:t>8.甲方向供应商或乙方垫付的款项总金额（即“分期本金总额”）、乙方应向甲方支付的场景分期业务手续费总额及其他一切相关利息、费用，形成乙方欠甲方的债务。一旦乙方成功办理场景分期业务，如果乙方信用卡未开通或存在信用卡不能正常使用等情况，乙方同意并授权甲方产生场景分期业务对账单及场景分期业务的相关款项、费用等，并且乙方承诺按期偿还当期应还款项，乙方同意甲方有权处理、转让其所拥有的针对乙方的债权。</w:t>
      </w:r>
    </w:p>
    <w:p>
      <w:pPr>
        <w:kinsoku w:val="0"/>
        <w:overflowPunct w:val="0"/>
        <w:autoSpaceDE w:val="0"/>
        <w:autoSpaceDN w:val="0"/>
        <w:spacing w:line="220" w:lineRule="exact"/>
        <w:textAlignment w:val="top"/>
        <w:rPr>
          <w:rFonts w:ascii="微软雅黑" w:hAnsi="微软雅黑" w:eastAsia="微软雅黑"/>
          <w:b/>
          <w:sz w:val="12"/>
          <w:szCs w:val="12"/>
        </w:rPr>
      </w:pPr>
      <w:r>
        <w:rPr>
          <w:rFonts w:hint="eastAsia" w:ascii="微软雅黑" w:hAnsi="微软雅黑" w:eastAsia="微软雅黑"/>
          <w:b/>
          <w:sz w:val="12"/>
          <w:szCs w:val="12"/>
        </w:rPr>
        <w:t>9.若甲方直接向乙方垫付款项，由乙方自主支付给符合约定用途的供应商，乙方须保留相关消费凭证，甲方拥有随时查阅消费凭证的权利。若乙方未按约定用途使用资金或无法证明款项用于约定用途，甲方有权要求乙方一次性偿还全部剩余本金及相应利息、费用等。</w:t>
      </w:r>
    </w:p>
    <w:p>
      <w:pPr>
        <w:kinsoku w:val="0"/>
        <w:overflowPunct w:val="0"/>
        <w:autoSpaceDE w:val="0"/>
        <w:autoSpaceDN w:val="0"/>
        <w:spacing w:line="220" w:lineRule="exact"/>
        <w:textAlignment w:val="top"/>
        <w:rPr>
          <w:rFonts w:ascii="微软雅黑" w:hAnsi="微软雅黑" w:eastAsia="微软雅黑"/>
          <w:sz w:val="12"/>
          <w:szCs w:val="12"/>
        </w:rPr>
      </w:pPr>
      <w:r>
        <w:rPr>
          <w:rFonts w:hint="eastAsia" w:ascii="微软雅黑" w:hAnsi="微软雅黑" w:eastAsia="微软雅黑"/>
          <w:sz w:val="12"/>
          <w:szCs w:val="12"/>
        </w:rPr>
        <w:t>10.自场景分期业务办理</w:t>
      </w:r>
      <w:r>
        <w:rPr>
          <w:rFonts w:ascii="微软雅黑" w:hAnsi="微软雅黑" w:eastAsia="微软雅黑"/>
          <w:sz w:val="12"/>
          <w:szCs w:val="12"/>
        </w:rPr>
        <w:t>成功</w:t>
      </w:r>
      <w:r>
        <w:rPr>
          <w:rFonts w:hint="eastAsia" w:ascii="微软雅黑" w:hAnsi="微软雅黑" w:eastAsia="微软雅黑"/>
          <w:sz w:val="12"/>
          <w:szCs w:val="12"/>
        </w:rPr>
        <w:t>后的首个账单日开始，分摊还款金额逐期入账，分摊还款金额可根据不同产品按以下规则进行分摊：</w:t>
      </w:r>
    </w:p>
    <w:p>
      <w:pPr>
        <w:kinsoku w:val="0"/>
        <w:overflowPunct w:val="0"/>
        <w:autoSpaceDE w:val="0"/>
        <w:autoSpaceDN w:val="0"/>
        <w:spacing w:line="220" w:lineRule="exact"/>
        <w:textAlignment w:val="top"/>
        <w:rPr>
          <w:rFonts w:ascii="微软雅黑" w:hAnsi="微软雅黑" w:eastAsia="微软雅黑"/>
          <w:sz w:val="12"/>
          <w:szCs w:val="12"/>
        </w:rPr>
      </w:pPr>
      <w:r>
        <w:rPr>
          <w:rFonts w:hint="eastAsia" w:ascii="微软雅黑" w:hAnsi="微软雅黑" w:eastAsia="微软雅黑"/>
          <w:sz w:val="12"/>
          <w:szCs w:val="12"/>
        </w:rPr>
        <w:t>（1）平均分摊：即将分期本金总额按期平均分摊，精确到分，余数计入最后一期。</w:t>
      </w:r>
    </w:p>
    <w:p>
      <w:pPr>
        <w:kinsoku w:val="0"/>
        <w:overflowPunct w:val="0"/>
        <w:autoSpaceDE w:val="0"/>
        <w:autoSpaceDN w:val="0"/>
        <w:spacing w:line="220" w:lineRule="exact"/>
        <w:textAlignment w:val="top"/>
        <w:rPr>
          <w:rFonts w:ascii="微软雅黑" w:hAnsi="微软雅黑" w:eastAsia="微软雅黑"/>
          <w:sz w:val="12"/>
          <w:szCs w:val="12"/>
        </w:rPr>
      </w:pPr>
      <w:r>
        <w:rPr>
          <w:rFonts w:hint="eastAsia" w:ascii="微软雅黑" w:hAnsi="微软雅黑" w:eastAsia="微软雅黑"/>
          <w:sz w:val="12"/>
          <w:szCs w:val="12"/>
        </w:rPr>
        <w:t>（2）按比例分摊：即首期至倒数第二期按每期均摊额的一定比例按月分摊，最后一期将剩余本金全部分摊，分摊比例由甲方根据业务发展及风险控制需要确定。</w:t>
      </w:r>
    </w:p>
    <w:p>
      <w:pPr>
        <w:kinsoku w:val="0"/>
        <w:overflowPunct w:val="0"/>
        <w:autoSpaceDE w:val="0"/>
        <w:autoSpaceDN w:val="0"/>
        <w:spacing w:line="220" w:lineRule="exact"/>
        <w:textAlignment w:val="top"/>
        <w:rPr>
          <w:rFonts w:ascii="微软雅黑" w:hAnsi="微软雅黑" w:eastAsia="微软雅黑"/>
          <w:sz w:val="12"/>
          <w:szCs w:val="12"/>
        </w:rPr>
      </w:pPr>
      <w:r>
        <w:rPr>
          <w:rFonts w:hint="eastAsia" w:ascii="微软雅黑" w:hAnsi="微软雅黑" w:eastAsia="微软雅黑"/>
          <w:sz w:val="12"/>
          <w:szCs w:val="12"/>
        </w:rPr>
        <w:t>（3）延期分摊：即在最后一期全额分摊分期本金总额。</w:t>
      </w:r>
    </w:p>
    <w:p>
      <w:pPr>
        <w:kinsoku w:val="0"/>
        <w:overflowPunct w:val="0"/>
        <w:autoSpaceDE w:val="0"/>
        <w:autoSpaceDN w:val="0"/>
        <w:spacing w:line="220" w:lineRule="exact"/>
        <w:textAlignment w:val="top"/>
        <w:rPr>
          <w:rFonts w:ascii="微软雅黑" w:hAnsi="微软雅黑" w:eastAsia="微软雅黑"/>
          <w:b/>
          <w:sz w:val="12"/>
          <w:szCs w:val="12"/>
        </w:rPr>
      </w:pPr>
      <w:r>
        <w:rPr>
          <w:rFonts w:hint="eastAsia" w:ascii="微软雅黑" w:hAnsi="微软雅黑" w:eastAsia="微软雅黑"/>
          <w:b/>
          <w:sz w:val="12"/>
          <w:szCs w:val="12"/>
        </w:rPr>
        <w:t>11.场景分期手续费分为按账单月分期收取和一次性收取。</w:t>
      </w:r>
    </w:p>
    <w:p>
      <w:pPr>
        <w:kinsoku w:val="0"/>
        <w:overflowPunct w:val="0"/>
        <w:autoSpaceDE w:val="0"/>
        <w:autoSpaceDN w:val="0"/>
        <w:spacing w:line="220" w:lineRule="exact"/>
        <w:textAlignment w:val="top"/>
        <w:rPr>
          <w:rFonts w:ascii="微软雅黑" w:hAnsi="微软雅黑" w:eastAsia="微软雅黑"/>
          <w:b/>
          <w:sz w:val="12"/>
          <w:szCs w:val="12"/>
        </w:rPr>
      </w:pPr>
      <w:r>
        <w:rPr>
          <w:rFonts w:hint="eastAsia" w:ascii="微软雅黑" w:hAnsi="微软雅黑" w:eastAsia="微软雅黑"/>
          <w:b/>
          <w:sz w:val="12"/>
          <w:szCs w:val="12"/>
        </w:rPr>
        <w:t>按账单月分期收取，即每月分期手续费自乙方进行场景分期消费后的首个账单日开始，每月记入账单，直至最后一期，按月收取；一次性收取，即手续费在分期后的首个信用卡账单日一次性全部收取。乙方场景分期手续费的收取方式以甲方批准并与乙方最终确认为准。</w:t>
      </w:r>
    </w:p>
    <w:p>
      <w:pPr>
        <w:kinsoku w:val="0"/>
        <w:overflowPunct w:val="0"/>
        <w:autoSpaceDE w:val="0"/>
        <w:autoSpaceDN w:val="0"/>
        <w:spacing w:line="220" w:lineRule="exact"/>
        <w:textAlignment w:val="top"/>
        <w:rPr>
          <w:rFonts w:ascii="微软雅黑" w:hAnsi="微软雅黑" w:eastAsia="微软雅黑"/>
          <w:b/>
          <w:sz w:val="12"/>
          <w:szCs w:val="12"/>
        </w:rPr>
      </w:pPr>
      <w:r>
        <w:rPr>
          <w:rFonts w:hint="eastAsia" w:ascii="微软雅黑" w:hAnsi="微软雅黑" w:eastAsia="微软雅黑"/>
          <w:b/>
          <w:sz w:val="12"/>
          <w:szCs w:val="12"/>
        </w:rPr>
        <w:t>12.场景分期手续费的计算方式</w:t>
      </w:r>
    </w:p>
    <w:p>
      <w:pPr>
        <w:kinsoku w:val="0"/>
        <w:overflowPunct w:val="0"/>
        <w:autoSpaceDE w:val="0"/>
        <w:autoSpaceDN w:val="0"/>
        <w:spacing w:line="220" w:lineRule="exact"/>
        <w:textAlignment w:val="top"/>
        <w:rPr>
          <w:rFonts w:ascii="微软雅黑" w:hAnsi="微软雅黑" w:eastAsia="微软雅黑"/>
          <w:b/>
          <w:sz w:val="12"/>
          <w:szCs w:val="12"/>
        </w:rPr>
      </w:pPr>
      <w:r>
        <w:rPr>
          <w:rFonts w:hint="eastAsia" w:ascii="微软雅黑" w:hAnsi="微软雅黑" w:eastAsia="微软雅黑"/>
          <w:b/>
          <w:sz w:val="12"/>
          <w:szCs w:val="12"/>
        </w:rPr>
        <w:t>分期收取手续费计算公式为：</w:t>
      </w:r>
    </w:p>
    <w:p>
      <w:pPr>
        <w:kinsoku w:val="0"/>
        <w:overflowPunct w:val="0"/>
        <w:autoSpaceDE w:val="0"/>
        <w:autoSpaceDN w:val="0"/>
        <w:spacing w:line="220" w:lineRule="exact"/>
        <w:textAlignment w:val="top"/>
        <w:rPr>
          <w:rFonts w:ascii="微软雅黑" w:hAnsi="微软雅黑" w:eastAsia="微软雅黑"/>
          <w:b/>
          <w:sz w:val="12"/>
          <w:szCs w:val="12"/>
        </w:rPr>
      </w:pPr>
      <w:r>
        <w:rPr>
          <w:rFonts w:hint="eastAsia" w:ascii="微软雅黑" w:hAnsi="微软雅黑" w:eastAsia="微软雅黑"/>
          <w:b/>
          <w:sz w:val="12"/>
          <w:szCs w:val="12"/>
        </w:rPr>
        <w:t>每期手续费=分期本金总额/分期期数×对应期数分期收取手续费费率。</w:t>
      </w:r>
    </w:p>
    <w:p>
      <w:pPr>
        <w:kinsoku w:val="0"/>
        <w:overflowPunct w:val="0"/>
        <w:autoSpaceDE w:val="0"/>
        <w:autoSpaceDN w:val="0"/>
        <w:spacing w:line="220" w:lineRule="exact"/>
        <w:textAlignment w:val="top"/>
        <w:rPr>
          <w:rFonts w:ascii="微软雅黑" w:hAnsi="微软雅黑" w:eastAsia="微软雅黑"/>
          <w:b/>
          <w:sz w:val="12"/>
          <w:szCs w:val="12"/>
        </w:rPr>
      </w:pPr>
      <w:r>
        <w:rPr>
          <w:rFonts w:hint="eastAsia" w:ascii="微软雅黑" w:hAnsi="微软雅黑" w:eastAsia="微软雅黑"/>
          <w:b/>
          <w:sz w:val="12"/>
          <w:szCs w:val="12"/>
        </w:rPr>
        <w:t>手续费总额</w:t>
      </w:r>
      <w:r>
        <w:rPr>
          <w:rFonts w:ascii="微软雅黑" w:hAnsi="微软雅黑" w:eastAsia="微软雅黑"/>
          <w:b/>
          <w:sz w:val="12"/>
          <w:szCs w:val="12"/>
        </w:rPr>
        <w:t>=</w:t>
      </w:r>
      <w:r>
        <w:rPr>
          <w:rFonts w:hint="eastAsia" w:ascii="微软雅黑" w:hAnsi="微软雅黑" w:eastAsia="微软雅黑"/>
          <w:b/>
          <w:sz w:val="12"/>
          <w:szCs w:val="12"/>
        </w:rPr>
        <w:t>分期本金总额×对应期数分期收取手续费费率。</w:t>
      </w:r>
    </w:p>
    <w:p>
      <w:pPr>
        <w:kinsoku w:val="0"/>
        <w:overflowPunct w:val="0"/>
        <w:autoSpaceDE w:val="0"/>
        <w:autoSpaceDN w:val="0"/>
        <w:spacing w:line="220" w:lineRule="exact"/>
        <w:textAlignment w:val="top"/>
        <w:rPr>
          <w:rFonts w:ascii="微软雅黑" w:hAnsi="微软雅黑" w:eastAsia="微软雅黑"/>
          <w:b/>
          <w:sz w:val="12"/>
          <w:szCs w:val="12"/>
        </w:rPr>
      </w:pPr>
      <w:r>
        <w:rPr>
          <w:rFonts w:hint="eastAsia" w:ascii="微软雅黑" w:hAnsi="微软雅黑" w:eastAsia="微软雅黑"/>
          <w:b/>
          <w:sz w:val="12"/>
          <w:szCs w:val="12"/>
        </w:rPr>
        <w:t>一次性收取手续费计算公式为：</w:t>
      </w:r>
    </w:p>
    <w:p>
      <w:pPr>
        <w:kinsoku w:val="0"/>
        <w:overflowPunct w:val="0"/>
        <w:autoSpaceDE w:val="0"/>
        <w:autoSpaceDN w:val="0"/>
        <w:spacing w:line="220" w:lineRule="exact"/>
        <w:textAlignment w:val="top"/>
        <w:rPr>
          <w:rFonts w:ascii="微软雅黑" w:hAnsi="微软雅黑" w:eastAsia="微软雅黑"/>
          <w:b/>
          <w:sz w:val="12"/>
          <w:szCs w:val="12"/>
        </w:rPr>
      </w:pPr>
      <w:r>
        <w:rPr>
          <w:rFonts w:hint="eastAsia" w:ascii="微软雅黑" w:hAnsi="微软雅黑" w:eastAsia="微软雅黑"/>
          <w:b/>
          <w:sz w:val="12"/>
          <w:szCs w:val="12"/>
        </w:rPr>
        <w:t>手续费总额=分期本金总额×对应期数一次性收取手续费费率。</w:t>
      </w:r>
    </w:p>
    <w:p>
      <w:pPr>
        <w:kinsoku w:val="0"/>
        <w:overflowPunct w:val="0"/>
        <w:autoSpaceDE w:val="0"/>
        <w:autoSpaceDN w:val="0"/>
        <w:spacing w:line="220" w:lineRule="exact"/>
        <w:textAlignment w:val="top"/>
        <w:rPr>
          <w:rFonts w:ascii="微软雅黑" w:hAnsi="微软雅黑" w:eastAsia="微软雅黑"/>
          <w:sz w:val="12"/>
          <w:szCs w:val="12"/>
        </w:rPr>
      </w:pPr>
      <w:r>
        <w:rPr>
          <w:rFonts w:hint="eastAsia" w:ascii="微软雅黑" w:hAnsi="微软雅黑" w:eastAsia="微软雅黑"/>
          <w:b/>
          <w:sz w:val="12"/>
          <w:szCs w:val="12"/>
        </w:rPr>
        <w:t>13.乙方按期偿还信用卡当期应还账款后账户存在溢缴款的，溢缴款不会自动提前清偿场景分期剩余未分摊金额。</w:t>
      </w:r>
    </w:p>
    <w:p>
      <w:pPr>
        <w:kinsoku w:val="0"/>
        <w:overflowPunct w:val="0"/>
        <w:autoSpaceDE w:val="0"/>
        <w:autoSpaceDN w:val="0"/>
        <w:spacing w:line="220" w:lineRule="exact"/>
        <w:textAlignment w:val="top"/>
        <w:rPr>
          <w:rFonts w:ascii="微软雅黑" w:hAnsi="微软雅黑" w:eastAsia="微软雅黑"/>
          <w:b/>
          <w:sz w:val="12"/>
          <w:szCs w:val="12"/>
        </w:rPr>
      </w:pPr>
      <w:r>
        <w:rPr>
          <w:rFonts w:ascii="微软雅黑" w:hAnsi="微软雅黑" w:eastAsia="微软雅黑"/>
          <w:b/>
          <w:bCs/>
          <w:sz w:val="12"/>
          <w:szCs w:val="12"/>
        </w:rPr>
        <w:t>14.</w:t>
      </w:r>
      <w:r>
        <w:rPr>
          <w:rFonts w:hint="eastAsia" w:ascii="微软雅黑" w:hAnsi="微软雅黑" w:eastAsia="微软雅黑"/>
          <w:b/>
          <w:bCs/>
          <w:sz w:val="12"/>
          <w:szCs w:val="12"/>
        </w:rPr>
        <w:t>乙方</w:t>
      </w:r>
      <w:r>
        <w:rPr>
          <w:rFonts w:hint="eastAsia" w:ascii="微软雅黑" w:hAnsi="微软雅黑" w:eastAsia="微软雅黑"/>
          <w:b/>
          <w:sz w:val="12"/>
          <w:szCs w:val="12"/>
        </w:rPr>
        <w:t>未收到场景分期业务对账单时应主动查询，若在到期还款日前乙方未向甲方提出书面异议，则视同乙方已认可全部交易。</w:t>
      </w:r>
      <w:r>
        <w:rPr>
          <w:rFonts w:hint="eastAsia" w:ascii="微软雅黑" w:hAnsi="微软雅黑" w:eastAsia="微软雅黑"/>
          <w:sz w:val="12"/>
          <w:szCs w:val="12"/>
        </w:rPr>
        <w:t>乙方同意按照甲方场景分期业务对账单所显示金额、还款期限等按期向甲方归还场景分期债务。</w:t>
      </w:r>
      <w:r>
        <w:rPr>
          <w:rFonts w:hint="eastAsia" w:ascii="微软雅黑" w:hAnsi="微软雅黑" w:eastAsia="微软雅黑"/>
          <w:b/>
          <w:sz w:val="12"/>
          <w:szCs w:val="12"/>
          <w:u w:val="single"/>
        </w:rPr>
        <w:t>若乙方主动提前还款或因乙方原因导致甲方要求乙方提前归还场景分期债务，乙方须按照剩余未分摊本金的3%支付甲方提前还款手续费。</w:t>
      </w:r>
    </w:p>
    <w:p>
      <w:pPr>
        <w:kinsoku w:val="0"/>
        <w:overflowPunct w:val="0"/>
        <w:autoSpaceDE w:val="0"/>
        <w:autoSpaceDN w:val="0"/>
        <w:spacing w:line="220" w:lineRule="exact"/>
        <w:textAlignment w:val="top"/>
        <w:rPr>
          <w:rFonts w:ascii="微软雅黑" w:hAnsi="微软雅黑" w:eastAsia="微软雅黑"/>
          <w:b/>
          <w:sz w:val="12"/>
          <w:szCs w:val="12"/>
        </w:rPr>
      </w:pPr>
      <w:r>
        <w:rPr>
          <w:rFonts w:hint="eastAsia" w:ascii="微软雅黑" w:hAnsi="微软雅黑" w:eastAsia="微软雅黑"/>
          <w:b/>
          <w:sz w:val="12"/>
          <w:szCs w:val="12"/>
        </w:rPr>
        <w:t>15</w:t>
      </w:r>
      <w:r>
        <w:rPr>
          <w:rFonts w:hint="eastAsia" w:ascii="微软雅黑" w:hAnsi="微软雅黑" w:eastAsia="微软雅黑"/>
          <w:sz w:val="12"/>
          <w:szCs w:val="12"/>
        </w:rPr>
        <w:t>.</w:t>
      </w:r>
      <w:r>
        <w:rPr>
          <w:rFonts w:hint="eastAsia" w:ascii="微软雅黑" w:hAnsi="微软雅黑" w:eastAsia="微软雅黑"/>
          <w:b/>
          <w:sz w:val="12"/>
          <w:szCs w:val="12"/>
        </w:rPr>
        <w:t>乙方成功办理场景分期业务后，每期分摊还款金额全部计入当期最小还款额，享受免息还款待遇，</w:t>
      </w:r>
      <w:r>
        <w:rPr>
          <w:rFonts w:hint="eastAsia" w:ascii="微软雅黑" w:hAnsi="微软雅黑" w:eastAsia="微软雅黑"/>
          <w:b/>
          <w:sz w:val="12"/>
          <w:szCs w:val="12"/>
          <w:u w:val="single"/>
        </w:rPr>
        <w:t>如乙方未按时全部偿还当期账单金额，将视为未全额还款，当期分摊还款金额不享受免息还款待遇，将按甲方信用卡利息标准收取自甲方记账日起计算的利息，并</w:t>
      </w:r>
      <w:r>
        <w:rPr>
          <w:rFonts w:hint="eastAsia" w:ascii="微软雅黑" w:hAnsi="微软雅黑" w:eastAsia="微软雅黑"/>
          <w:b/>
          <w:sz w:val="12"/>
          <w:u w:val="single"/>
          <w:lang w:val="zh-CN"/>
        </w:rPr>
        <w:t>对乙方未按期偿还的利息，按透支利率、实际天数</w:t>
      </w:r>
      <w:r>
        <w:rPr>
          <w:rFonts w:hint="eastAsia" w:ascii="微软雅黑" w:hAnsi="微软雅黑" w:eastAsia="微软雅黑"/>
          <w:b/>
          <w:sz w:val="12"/>
          <w:szCs w:val="12"/>
          <w:u w:val="single"/>
        </w:rPr>
        <w:t>按月计收复利，对最低还款额未还部分，乙方还应向甲方按月支付违约金。</w:t>
      </w:r>
    </w:p>
    <w:p>
      <w:pPr>
        <w:kinsoku w:val="0"/>
        <w:overflowPunct w:val="0"/>
        <w:autoSpaceDE w:val="0"/>
        <w:autoSpaceDN w:val="0"/>
        <w:spacing w:line="220" w:lineRule="exact"/>
        <w:textAlignment w:val="top"/>
        <w:rPr>
          <w:rFonts w:ascii="微软雅黑" w:hAnsi="微软雅黑" w:eastAsia="微软雅黑"/>
          <w:b/>
          <w:sz w:val="12"/>
          <w:szCs w:val="12"/>
          <w:u w:val="single"/>
        </w:rPr>
      </w:pPr>
      <w:r>
        <w:rPr>
          <w:rFonts w:hint="eastAsia" w:ascii="微软雅黑" w:hAnsi="微软雅黑" w:eastAsia="微软雅黑"/>
          <w:sz w:val="12"/>
          <w:szCs w:val="12"/>
        </w:rPr>
        <w:t>1</w:t>
      </w:r>
      <w:r>
        <w:rPr>
          <w:rFonts w:ascii="微软雅黑" w:hAnsi="微软雅黑" w:eastAsia="微软雅黑"/>
          <w:b/>
          <w:sz w:val="12"/>
          <w:szCs w:val="12"/>
          <w:u w:val="single"/>
        </w:rPr>
        <w:t>6.乙方应在场景分期业务还款期间保持良好的信用记录，并同意甲方向乙方提供的场景分期业务额度仅用于乙方申请该额度时所确定的用途，如乙方发生下述任一情形，则甲方有权要求乙方提前归还剩余的场景分期债务，乙方应当按照甲方要求提前一次性向甲方支付全部剩余款项（含分期本金总额中尚未支付部分、手续费总额中尚未支付部分及其他一切相关利息、费用），甲方也有权对抵押物（如有）行使抵押权：1）乙方场景分期业务延迟还款；2）乙方有任何舞弊、欺诈或非真实交易的情形；3）乙方有其他信用程度降低的情况；4）乙方不履行对甲方的其他债务；5）乙方违反本合约或其他相关规定的；6）乙方撤销已成功的场景分期业务或退货； 7）乙方存在套现、洗钱等行为；8）其他甲方认为可能导致乙方无法或不履行还款义务的情况。</w:t>
      </w:r>
    </w:p>
    <w:p>
      <w:pPr>
        <w:kinsoku w:val="0"/>
        <w:overflowPunct w:val="0"/>
        <w:autoSpaceDE w:val="0"/>
        <w:autoSpaceDN w:val="0"/>
        <w:spacing w:line="220" w:lineRule="exact"/>
        <w:textAlignment w:val="top"/>
        <w:rPr>
          <w:rFonts w:ascii="微软雅黑" w:hAnsi="微软雅黑" w:eastAsia="微软雅黑"/>
          <w:b/>
          <w:sz w:val="12"/>
          <w:szCs w:val="12"/>
          <w:u w:val="single"/>
        </w:rPr>
      </w:pPr>
      <w:r>
        <w:rPr>
          <w:rFonts w:ascii="微软雅黑" w:hAnsi="微软雅黑" w:eastAsia="微软雅黑"/>
          <w:b/>
          <w:sz w:val="12"/>
          <w:szCs w:val="12"/>
          <w:u w:val="single"/>
        </w:rPr>
        <w:t>17.</w:t>
      </w:r>
      <w:r>
        <w:rPr>
          <w:rFonts w:hint="eastAsia" w:ascii="微软雅黑" w:hAnsi="微软雅黑" w:eastAsia="微软雅黑"/>
          <w:b/>
          <w:sz w:val="12"/>
          <w:szCs w:val="12"/>
          <w:u w:val="single"/>
        </w:rPr>
        <w:t>有关产品或服务的买卖、质量等事宜均由供应商提供，甲方并非产品销售商或服务提供商，与供应商无代理关系或提供任何担保，如乙方与供应商之间就产品买卖、质量及相关服务等事宜发生争议，乙方应与供应商协商处理，乙方对产品或服务有任何疑问，应直接与供应商商洽。在争议处理过程中，乙方应继续按期向甲方归还场景分期债务，前述争议不影响甲方对乙方所欠款项的追偿权及对抵押物（如有）的抵押权。</w:t>
      </w:r>
    </w:p>
    <w:p>
      <w:pPr>
        <w:kinsoku w:val="0"/>
        <w:overflowPunct w:val="0"/>
        <w:autoSpaceDE w:val="0"/>
        <w:autoSpaceDN w:val="0"/>
        <w:spacing w:line="220" w:lineRule="exact"/>
        <w:textAlignment w:val="top"/>
        <w:rPr>
          <w:rFonts w:ascii="微软雅黑" w:hAnsi="微软雅黑" w:eastAsia="微软雅黑"/>
          <w:sz w:val="12"/>
          <w:szCs w:val="12"/>
        </w:rPr>
      </w:pPr>
      <w:r>
        <w:rPr>
          <w:rFonts w:ascii="微软雅黑" w:hAnsi="微软雅黑" w:eastAsia="微软雅黑"/>
          <w:b/>
          <w:sz w:val="12"/>
          <w:szCs w:val="12"/>
          <w:u w:val="single"/>
        </w:rPr>
        <w:t>18.乙方知晓并同意，在乙方场景分期业务存续期间，如因乙方、供应商或其他非甲方原因导致乙方部分或全部退货，已收取的分期手续费将不予退还</w:t>
      </w:r>
      <w:r>
        <w:rPr>
          <w:rFonts w:hint="eastAsia" w:ascii="微软雅黑" w:hAnsi="微软雅黑" w:eastAsia="微软雅黑"/>
          <w:b/>
          <w:sz w:val="12"/>
          <w:szCs w:val="12"/>
        </w:rPr>
        <w:t>。</w:t>
      </w:r>
    </w:p>
    <w:p>
      <w:pPr>
        <w:kinsoku w:val="0"/>
        <w:overflowPunct w:val="0"/>
        <w:autoSpaceDE w:val="0"/>
        <w:autoSpaceDN w:val="0"/>
        <w:spacing w:line="220" w:lineRule="exact"/>
        <w:textAlignment w:val="top"/>
        <w:rPr>
          <w:rFonts w:ascii="微软雅黑" w:hAnsi="微软雅黑" w:eastAsia="微软雅黑"/>
          <w:b/>
          <w:sz w:val="12"/>
          <w:szCs w:val="12"/>
          <w:u w:val="single"/>
        </w:rPr>
      </w:pPr>
      <w:r>
        <w:rPr>
          <w:rFonts w:ascii="微软雅黑" w:hAnsi="微软雅黑" w:eastAsia="微软雅黑"/>
          <w:b/>
          <w:sz w:val="12"/>
          <w:szCs w:val="12"/>
          <w:u w:val="single"/>
        </w:rPr>
        <w:t>19.乙方若未依约还款或有违法违规、欺诈等行为，甲方有权催收、依法追索。甲方因此而支出的费用（包括但不限于律师费、诉讼费）均由乙方承担。</w:t>
      </w:r>
      <w:r>
        <w:rPr>
          <w:rFonts w:hint="eastAsia" w:ascii="微软雅黑" w:hAnsi="微软雅黑" w:eastAsia="微软雅黑"/>
          <w:b/>
          <w:sz w:val="12"/>
          <w:szCs w:val="12"/>
          <w:u w:val="single"/>
        </w:rPr>
        <w:t>乙方同意并授权甲方或齐鲁银行股份有限公司或乙方账户开立行从乙方在齐鲁银行系统内开立的任何银行账户中</w:t>
      </w:r>
      <w:r>
        <w:rPr>
          <w:rFonts w:ascii="微软雅黑" w:hAnsi="微软雅黑" w:eastAsia="微软雅黑"/>
          <w:b/>
          <w:sz w:val="12"/>
          <w:szCs w:val="12"/>
          <w:u w:val="single"/>
        </w:rPr>
        <w:t>的资产（包括但不限于本外币定期及活期存款、理财产品、第三方存管账户内款项等）</w:t>
      </w:r>
      <w:r>
        <w:rPr>
          <w:rFonts w:hint="eastAsia" w:ascii="微软雅黑" w:hAnsi="微软雅黑" w:eastAsia="微软雅黑"/>
          <w:b/>
          <w:sz w:val="12"/>
          <w:szCs w:val="12"/>
          <w:u w:val="single"/>
        </w:rPr>
        <w:t>直接扣收分期本金、手续费</w:t>
      </w:r>
      <w:r>
        <w:rPr>
          <w:rFonts w:ascii="微软雅黑" w:hAnsi="微软雅黑" w:eastAsia="微软雅黑"/>
          <w:b/>
          <w:sz w:val="12"/>
          <w:szCs w:val="12"/>
          <w:u w:val="single"/>
        </w:rPr>
        <w:t>、</w:t>
      </w:r>
      <w:r>
        <w:rPr>
          <w:rFonts w:hint="eastAsia" w:ascii="微软雅黑" w:hAnsi="微软雅黑" w:eastAsia="微软雅黑"/>
          <w:b/>
          <w:sz w:val="12"/>
          <w:szCs w:val="12"/>
          <w:u w:val="single"/>
        </w:rPr>
        <w:t>利息、</w:t>
      </w:r>
      <w:r>
        <w:rPr>
          <w:rFonts w:ascii="微软雅黑" w:hAnsi="微软雅黑" w:eastAsia="微软雅黑"/>
          <w:b/>
          <w:sz w:val="12"/>
          <w:szCs w:val="12"/>
          <w:u w:val="single"/>
        </w:rPr>
        <w:t>违约金等</w:t>
      </w:r>
      <w:r>
        <w:rPr>
          <w:rFonts w:hint="eastAsia" w:ascii="微软雅黑" w:hAnsi="微软雅黑" w:eastAsia="微软雅黑"/>
          <w:b/>
          <w:sz w:val="12"/>
          <w:szCs w:val="12"/>
          <w:u w:val="single"/>
        </w:rPr>
        <w:t>费用</w:t>
      </w:r>
      <w:r>
        <w:rPr>
          <w:rFonts w:ascii="微软雅黑" w:hAnsi="微软雅黑" w:eastAsia="微软雅黑"/>
          <w:b/>
          <w:sz w:val="12"/>
          <w:szCs w:val="12"/>
          <w:u w:val="single"/>
        </w:rPr>
        <w:t>以及处分相关信用卡项下、场景分期业务项下抵押物用于清偿甲方的经济损失。</w:t>
      </w:r>
      <w:r>
        <w:rPr>
          <w:rFonts w:hint="eastAsia" w:ascii="微软雅黑" w:hAnsi="微软雅黑" w:eastAsia="微软雅黑"/>
          <w:b/>
          <w:sz w:val="12"/>
          <w:szCs w:val="12"/>
          <w:u w:val="single"/>
        </w:rPr>
        <w:t>因扣收行为给乙方造成的利息损失及其他任何损失，甲方不承担责任。乙方还清本合约项下款项之前该授权不得撤销。</w:t>
      </w:r>
    </w:p>
    <w:p>
      <w:pPr>
        <w:kinsoku w:val="0"/>
        <w:overflowPunct w:val="0"/>
        <w:autoSpaceDE w:val="0"/>
        <w:autoSpaceDN w:val="0"/>
        <w:spacing w:line="220" w:lineRule="exact"/>
        <w:textAlignment w:val="top"/>
        <w:rPr>
          <w:rFonts w:ascii="微软雅黑" w:hAnsi="微软雅黑" w:eastAsia="微软雅黑"/>
          <w:b/>
          <w:sz w:val="12"/>
          <w:szCs w:val="12"/>
          <w:u w:val="single"/>
        </w:rPr>
      </w:pPr>
      <w:r>
        <w:rPr>
          <w:rFonts w:ascii="微软雅黑" w:hAnsi="微软雅黑" w:eastAsia="微软雅黑"/>
          <w:b/>
          <w:sz w:val="12"/>
          <w:szCs w:val="12"/>
          <w:u w:val="single"/>
        </w:rPr>
        <w:t>20.如乙方未依约还款或存在其他未偿还的信用卡账款（如利息、违约金等），则乙方同意甲方自行或委托第三方通过电话、信函、手机短信、电子邮件、面访、公告或司法渠道等方式向乙方本人直接催缴欠款。</w:t>
      </w:r>
    </w:p>
    <w:p>
      <w:pPr>
        <w:kinsoku w:val="0"/>
        <w:overflowPunct w:val="0"/>
        <w:autoSpaceDE w:val="0"/>
        <w:autoSpaceDN w:val="0"/>
        <w:spacing w:line="220" w:lineRule="exact"/>
        <w:textAlignment w:val="top"/>
        <w:rPr>
          <w:rFonts w:ascii="微软雅黑" w:hAnsi="微软雅黑" w:eastAsia="微软雅黑"/>
          <w:b/>
          <w:sz w:val="12"/>
          <w:szCs w:val="12"/>
        </w:rPr>
      </w:pPr>
      <w:r>
        <w:rPr>
          <w:rFonts w:hint="eastAsia" w:ascii="微软雅黑" w:hAnsi="微软雅黑" w:eastAsia="微软雅黑"/>
          <w:b/>
          <w:sz w:val="12"/>
          <w:szCs w:val="12"/>
        </w:rPr>
        <w:t>21.乙方成功办理场景分期业务后，偿还信用卡应还账款时将按照已出账单、未出账单的顺序偿还；无逾期和逾期1～90天的，上期有欠款时，先还上期应还款额，再还本期应还款额：上期利息、上期费用、上期本金（取现、分期、消费依次冲减）、本期利息、本期费用、本期本金（取现、分期、消费依次冲减）；逾期91天以上的，先还逾期91天以上的本金、费用、利息，再还上期利息、上期费用、上期本金（取现、分期、消费依次冲减）、本期利息、本期费用、本期本金（取现、分期、消费依次冲减）。</w:t>
      </w:r>
    </w:p>
    <w:p>
      <w:pPr>
        <w:kinsoku w:val="0"/>
        <w:overflowPunct w:val="0"/>
        <w:autoSpaceDE w:val="0"/>
        <w:autoSpaceDN w:val="0"/>
        <w:spacing w:line="220" w:lineRule="exact"/>
        <w:textAlignment w:val="top"/>
        <w:rPr>
          <w:rFonts w:ascii="微软雅黑" w:hAnsi="微软雅黑" w:eastAsia="微软雅黑"/>
          <w:b/>
          <w:sz w:val="12"/>
          <w:szCs w:val="12"/>
        </w:rPr>
      </w:pPr>
      <w:r>
        <w:rPr>
          <w:rFonts w:hint="eastAsia" w:ascii="微软雅黑" w:hAnsi="微软雅黑" w:eastAsia="微软雅黑"/>
          <w:b/>
          <w:sz w:val="12"/>
          <w:szCs w:val="12"/>
        </w:rPr>
        <w:t>第三条 其他</w:t>
      </w:r>
    </w:p>
    <w:p>
      <w:pPr>
        <w:kinsoku w:val="0"/>
        <w:overflowPunct w:val="0"/>
        <w:autoSpaceDE w:val="0"/>
        <w:autoSpaceDN w:val="0"/>
        <w:spacing w:line="220" w:lineRule="exact"/>
        <w:textAlignment w:val="top"/>
        <w:rPr>
          <w:rFonts w:ascii="微软雅黑" w:hAnsi="微软雅黑" w:eastAsia="微软雅黑"/>
          <w:b/>
          <w:sz w:val="12"/>
          <w:szCs w:val="12"/>
          <w:u w:val="single"/>
        </w:rPr>
      </w:pPr>
      <w:r>
        <w:rPr>
          <w:rFonts w:ascii="微软雅黑" w:hAnsi="微软雅黑" w:eastAsia="微软雅黑"/>
          <w:b/>
          <w:sz w:val="12"/>
          <w:szCs w:val="12"/>
          <w:u w:val="single"/>
        </w:rPr>
        <w:t>22.为防范风险，保障甲乙双方利益，乙方有义务配合甲方的调查，并按甲方要求及时提供相关文件资料，否则，由此造成的损失由乙方承担。</w:t>
      </w:r>
    </w:p>
    <w:p>
      <w:pPr>
        <w:kinsoku w:val="0"/>
        <w:overflowPunct w:val="0"/>
        <w:autoSpaceDE w:val="0"/>
        <w:autoSpaceDN w:val="0"/>
        <w:spacing w:line="220" w:lineRule="exact"/>
        <w:textAlignment w:val="top"/>
        <w:rPr>
          <w:rFonts w:ascii="微软雅黑" w:hAnsi="微软雅黑" w:eastAsia="微软雅黑"/>
          <w:b/>
          <w:sz w:val="12"/>
          <w:szCs w:val="12"/>
        </w:rPr>
      </w:pPr>
      <w:r>
        <w:rPr>
          <w:rFonts w:hint="eastAsia" w:ascii="微软雅黑" w:hAnsi="微软雅黑" w:eastAsia="微软雅黑"/>
          <w:b/>
          <w:sz w:val="12"/>
          <w:szCs w:val="12"/>
        </w:rPr>
        <w:t>23.为更好地提供信用卡场景分期服务，乙方同意甲方将其个人资料，包括但不限于乙方联系方式等相关信息披露给乙方所购产品或服务的供应商。</w:t>
      </w:r>
    </w:p>
    <w:p>
      <w:pPr>
        <w:kinsoku w:val="0"/>
        <w:overflowPunct w:val="0"/>
        <w:autoSpaceDE w:val="0"/>
        <w:autoSpaceDN w:val="0"/>
        <w:spacing w:line="220" w:lineRule="exact"/>
        <w:textAlignment w:val="top"/>
        <w:rPr>
          <w:rFonts w:ascii="微软雅黑" w:hAnsi="微软雅黑" w:eastAsia="微软雅黑"/>
          <w:sz w:val="12"/>
          <w:szCs w:val="12"/>
          <w:u w:val="single"/>
        </w:rPr>
      </w:pPr>
      <w:r>
        <w:rPr>
          <w:rFonts w:ascii="微软雅黑" w:hAnsi="微软雅黑" w:eastAsia="微软雅黑"/>
          <w:b/>
          <w:sz w:val="12"/>
          <w:szCs w:val="12"/>
          <w:u w:val="single"/>
        </w:rPr>
        <w:t>24.甲方有权依据国家有关规定及业务需要对本业务条款及费用标准进行变更，甲方有权根据上述调整</w:t>
      </w:r>
      <w:r>
        <w:rPr>
          <w:rFonts w:hint="eastAsia" w:ascii="微软雅黑" w:hAnsi="微软雅黑" w:eastAsia="微软雅黑"/>
          <w:b/>
          <w:sz w:val="12"/>
          <w:szCs w:val="12"/>
          <w:u w:val="single"/>
        </w:rPr>
        <w:t>选择以下一种或多种方式予以通知，具体可供选择的通知方式包括但不限于网站公告、营业网点公告、对账单告知、电子邮件告知、短信通知</w:t>
      </w:r>
      <w:r>
        <w:rPr>
          <w:rFonts w:ascii="微软雅黑" w:hAnsi="微软雅黑" w:eastAsia="微软雅黑"/>
          <w:b/>
          <w:sz w:val="12"/>
          <w:szCs w:val="12"/>
          <w:u w:val="single"/>
        </w:rPr>
        <w:t>。</w:t>
      </w:r>
      <w:r>
        <w:rPr>
          <w:rFonts w:hint="eastAsia" w:ascii="微软雅黑" w:hAnsi="微软雅黑" w:eastAsia="微软雅黑"/>
          <w:b/>
          <w:sz w:val="12"/>
          <w:szCs w:val="12"/>
          <w:u w:val="single"/>
        </w:rPr>
        <w:t>调整内容将于对外公告确定的施行之日起正式施行，自公告施行之日公告内容构成对甲方与乙方间协议约定的有效修改和补充。如果乙方不同意接受甲方的调整内容，应在公告施行日之前根据甲方的业务规则申请终止场景分期服务。乙方未在公告施行日之前申请终止服务的，视为接受甲方的相关调整。若乙方既不申请终止服务，也不执行调整后的规则，则甲方有权选择终止本合约，并要求乙方一次性偿还全部剩余款项及相应利息、违约金</w:t>
      </w:r>
      <w:r>
        <w:rPr>
          <w:rFonts w:ascii="微软雅黑" w:hAnsi="微软雅黑" w:eastAsia="微软雅黑"/>
          <w:b/>
          <w:sz w:val="12"/>
          <w:szCs w:val="12"/>
          <w:u w:val="single"/>
        </w:rPr>
        <w:t>、手续费等</w:t>
      </w:r>
      <w:r>
        <w:rPr>
          <w:rFonts w:hint="eastAsia" w:ascii="微软雅黑" w:hAnsi="微软雅黑" w:eastAsia="微软雅黑"/>
          <w:b/>
          <w:sz w:val="12"/>
          <w:szCs w:val="12"/>
          <w:u w:val="single"/>
        </w:rPr>
        <w:t>。</w:t>
      </w:r>
    </w:p>
    <w:p>
      <w:pPr>
        <w:kinsoku w:val="0"/>
        <w:overflowPunct w:val="0"/>
        <w:autoSpaceDE w:val="0"/>
        <w:autoSpaceDN w:val="0"/>
        <w:spacing w:line="220" w:lineRule="exact"/>
        <w:textAlignment w:val="top"/>
        <w:rPr>
          <w:rFonts w:ascii="微软雅黑" w:hAnsi="微软雅黑" w:eastAsia="微软雅黑"/>
          <w:b/>
          <w:sz w:val="12"/>
          <w:szCs w:val="12"/>
        </w:rPr>
      </w:pPr>
      <w:r>
        <w:rPr>
          <w:rFonts w:hint="eastAsia" w:ascii="微软雅黑" w:hAnsi="微软雅黑" w:eastAsia="微软雅黑"/>
          <w:b/>
          <w:sz w:val="12"/>
          <w:szCs w:val="12"/>
        </w:rPr>
        <w:t>25.本业务合约其他未尽事宜依据《齐鲁银行信用卡章程》、《齐鲁银行信用卡（个人卡）领用合约》及其他业务规定执行。</w:t>
      </w:r>
    </w:p>
    <w:p>
      <w:pPr>
        <w:kinsoku w:val="0"/>
        <w:overflowPunct w:val="0"/>
        <w:autoSpaceDE w:val="0"/>
        <w:autoSpaceDN w:val="0"/>
        <w:spacing w:line="220" w:lineRule="exact"/>
        <w:textAlignment w:val="top"/>
        <w:rPr>
          <w:rFonts w:ascii="微软雅黑" w:hAnsi="微软雅黑" w:eastAsia="微软雅黑"/>
          <w:b/>
          <w:sz w:val="12"/>
          <w:szCs w:val="12"/>
        </w:rPr>
      </w:pPr>
      <w:r>
        <w:rPr>
          <w:rFonts w:hint="eastAsia" w:ascii="微软雅黑" w:hAnsi="微软雅黑" w:eastAsia="微软雅黑"/>
          <w:b/>
          <w:sz w:val="12"/>
          <w:szCs w:val="12"/>
        </w:rPr>
        <w:t>26.甲方与乙方在履行合约中发生的争议，由双方协商解决，协商不成提起诉讼的，由乙方具体办理信用卡申领手续的甲方分支机构所在地或甲方所在地人民法院管辖。</w:t>
      </w:r>
    </w:p>
    <w:p>
      <w:pPr>
        <w:kinsoku w:val="0"/>
        <w:overflowPunct w:val="0"/>
        <w:autoSpaceDE w:val="0"/>
        <w:autoSpaceDN w:val="0"/>
        <w:spacing w:line="220" w:lineRule="exact"/>
        <w:textAlignment w:val="top"/>
        <w:rPr>
          <w:rFonts w:ascii="微软雅黑" w:hAnsi="微软雅黑" w:eastAsia="微软雅黑"/>
          <w:b/>
          <w:sz w:val="12"/>
          <w:szCs w:val="12"/>
        </w:rPr>
      </w:pPr>
      <w:r>
        <w:rPr>
          <w:rFonts w:hint="eastAsia" w:ascii="微软雅黑" w:hAnsi="微软雅黑" w:eastAsia="微软雅黑"/>
          <w:b/>
          <w:sz w:val="12"/>
          <w:szCs w:val="12"/>
        </w:rPr>
        <w:t>27.乙方同意其最近预留在甲方的用于接收信用卡或信用卡有关函件的地址作为接收诉讼法律文书的送达地址，管辖法院向该等地址寄送诉讼法律文书，即视为有效送达。上述送达地址不正确、变更后未书面通知甲方，致使寄送的文件和文书未能被实际接收或退回的，相关文件或文书寄出后第五个工作日或被退回之日视为送达之日。</w:t>
      </w:r>
    </w:p>
    <w:p>
      <w:pPr>
        <w:kinsoku w:val="0"/>
        <w:overflowPunct w:val="0"/>
        <w:autoSpaceDE w:val="0"/>
        <w:autoSpaceDN w:val="0"/>
        <w:spacing w:line="220" w:lineRule="exact"/>
        <w:textAlignment w:val="top"/>
        <w:rPr>
          <w:rFonts w:ascii="微软雅黑" w:hAnsi="微软雅黑" w:eastAsia="微软雅黑"/>
          <w:b/>
          <w:sz w:val="12"/>
          <w:szCs w:val="12"/>
        </w:rPr>
      </w:pPr>
      <w:r>
        <w:rPr>
          <w:rFonts w:hint="eastAsia" w:ascii="微软雅黑" w:hAnsi="微软雅黑" w:eastAsia="微软雅黑"/>
          <w:b/>
          <w:sz w:val="12"/>
          <w:szCs w:val="12"/>
        </w:rPr>
        <w:t>28.在签署本合约时，乙方已认真阅读本合约项下的全部条款，对于不理解的条款，乙方已向齐鲁银行经办人员进行征询且经办人员已进行了解释。甲方就本合约的全部条款已向乙方进行了详细地说明和解释，并就当事人有关权利义务和责任限制或免除条款进行了重点说明。乙方对合约的全部条款均无异议，并对当事人有关权利义务和责任限制或免除条款的法律含义有准确无误的理解。</w:t>
      </w:r>
    </w:p>
    <w:sectPr>
      <w:pgSz w:w="11906" w:h="16838"/>
      <w:pgMar w:top="284" w:right="284" w:bottom="284" w:left="28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宋体.趈癷.癷.">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44E3"/>
    <w:rsid w:val="000557A4"/>
    <w:rsid w:val="00060D4C"/>
    <w:rsid w:val="000802FC"/>
    <w:rsid w:val="000863B0"/>
    <w:rsid w:val="000C1748"/>
    <w:rsid w:val="000C3721"/>
    <w:rsid w:val="000D7031"/>
    <w:rsid w:val="00104666"/>
    <w:rsid w:val="001212B8"/>
    <w:rsid w:val="00172A27"/>
    <w:rsid w:val="001834D7"/>
    <w:rsid w:val="001A47BA"/>
    <w:rsid w:val="001B1C76"/>
    <w:rsid w:val="001C2EAF"/>
    <w:rsid w:val="001E1EBC"/>
    <w:rsid w:val="001F327D"/>
    <w:rsid w:val="00204036"/>
    <w:rsid w:val="002069B0"/>
    <w:rsid w:val="00206E9D"/>
    <w:rsid w:val="002343C3"/>
    <w:rsid w:val="00240A01"/>
    <w:rsid w:val="00263790"/>
    <w:rsid w:val="00281791"/>
    <w:rsid w:val="00283484"/>
    <w:rsid w:val="00293297"/>
    <w:rsid w:val="00294039"/>
    <w:rsid w:val="0029516A"/>
    <w:rsid w:val="0031180F"/>
    <w:rsid w:val="003421F3"/>
    <w:rsid w:val="0034397E"/>
    <w:rsid w:val="00347CE1"/>
    <w:rsid w:val="00377E25"/>
    <w:rsid w:val="003B066E"/>
    <w:rsid w:val="003C4EF7"/>
    <w:rsid w:val="003E2CB9"/>
    <w:rsid w:val="003F1CF1"/>
    <w:rsid w:val="0042401D"/>
    <w:rsid w:val="0042683C"/>
    <w:rsid w:val="00434719"/>
    <w:rsid w:val="00443140"/>
    <w:rsid w:val="00460C6E"/>
    <w:rsid w:val="00463C9E"/>
    <w:rsid w:val="004648A5"/>
    <w:rsid w:val="00484F0B"/>
    <w:rsid w:val="004B432D"/>
    <w:rsid w:val="004D6352"/>
    <w:rsid w:val="004E6C8A"/>
    <w:rsid w:val="004E6D9D"/>
    <w:rsid w:val="004F428F"/>
    <w:rsid w:val="005036F5"/>
    <w:rsid w:val="0055542E"/>
    <w:rsid w:val="0057614A"/>
    <w:rsid w:val="005A0F7B"/>
    <w:rsid w:val="005A2CD1"/>
    <w:rsid w:val="005C480D"/>
    <w:rsid w:val="005D6BAB"/>
    <w:rsid w:val="005E0CAE"/>
    <w:rsid w:val="005F61D0"/>
    <w:rsid w:val="00606896"/>
    <w:rsid w:val="00611571"/>
    <w:rsid w:val="006365B8"/>
    <w:rsid w:val="0066447E"/>
    <w:rsid w:val="00667E7D"/>
    <w:rsid w:val="006B4F95"/>
    <w:rsid w:val="006C1148"/>
    <w:rsid w:val="006F395E"/>
    <w:rsid w:val="0071739D"/>
    <w:rsid w:val="00721549"/>
    <w:rsid w:val="00730C97"/>
    <w:rsid w:val="00750405"/>
    <w:rsid w:val="00751130"/>
    <w:rsid w:val="007551CC"/>
    <w:rsid w:val="007622FB"/>
    <w:rsid w:val="007724AD"/>
    <w:rsid w:val="00787238"/>
    <w:rsid w:val="007A67E8"/>
    <w:rsid w:val="007B0DD4"/>
    <w:rsid w:val="007B4399"/>
    <w:rsid w:val="007B523B"/>
    <w:rsid w:val="007E5F5A"/>
    <w:rsid w:val="008347E5"/>
    <w:rsid w:val="0084193F"/>
    <w:rsid w:val="00842AA9"/>
    <w:rsid w:val="00854118"/>
    <w:rsid w:val="008566D5"/>
    <w:rsid w:val="00861037"/>
    <w:rsid w:val="008A4436"/>
    <w:rsid w:val="008B0CE5"/>
    <w:rsid w:val="008B3369"/>
    <w:rsid w:val="008B6267"/>
    <w:rsid w:val="008E2BD3"/>
    <w:rsid w:val="00916416"/>
    <w:rsid w:val="00936CD3"/>
    <w:rsid w:val="00940DCB"/>
    <w:rsid w:val="009473E7"/>
    <w:rsid w:val="00947B78"/>
    <w:rsid w:val="00950C5D"/>
    <w:rsid w:val="00994B28"/>
    <w:rsid w:val="009A71F3"/>
    <w:rsid w:val="009C2A8D"/>
    <w:rsid w:val="00A03DE3"/>
    <w:rsid w:val="00A430CA"/>
    <w:rsid w:val="00A46FDB"/>
    <w:rsid w:val="00A563FF"/>
    <w:rsid w:val="00A627DC"/>
    <w:rsid w:val="00A64F0B"/>
    <w:rsid w:val="00A85A6E"/>
    <w:rsid w:val="00AA5C3A"/>
    <w:rsid w:val="00AB20D4"/>
    <w:rsid w:val="00AD3E1C"/>
    <w:rsid w:val="00AD5878"/>
    <w:rsid w:val="00AE732D"/>
    <w:rsid w:val="00B15082"/>
    <w:rsid w:val="00B43CBD"/>
    <w:rsid w:val="00B715C6"/>
    <w:rsid w:val="00B92F98"/>
    <w:rsid w:val="00BA3117"/>
    <w:rsid w:val="00BC1033"/>
    <w:rsid w:val="00BC73EE"/>
    <w:rsid w:val="00BD7737"/>
    <w:rsid w:val="00C12550"/>
    <w:rsid w:val="00C17566"/>
    <w:rsid w:val="00C200DF"/>
    <w:rsid w:val="00C20A6E"/>
    <w:rsid w:val="00C266D4"/>
    <w:rsid w:val="00C425EF"/>
    <w:rsid w:val="00C77AC6"/>
    <w:rsid w:val="00C91588"/>
    <w:rsid w:val="00C916F3"/>
    <w:rsid w:val="00C95101"/>
    <w:rsid w:val="00CF35D0"/>
    <w:rsid w:val="00CF5463"/>
    <w:rsid w:val="00D10884"/>
    <w:rsid w:val="00D16029"/>
    <w:rsid w:val="00D2246F"/>
    <w:rsid w:val="00D34CE3"/>
    <w:rsid w:val="00D37AAF"/>
    <w:rsid w:val="00D50805"/>
    <w:rsid w:val="00D6642B"/>
    <w:rsid w:val="00DA6BAC"/>
    <w:rsid w:val="00DC7387"/>
    <w:rsid w:val="00DD7771"/>
    <w:rsid w:val="00E14270"/>
    <w:rsid w:val="00E42131"/>
    <w:rsid w:val="00E82E48"/>
    <w:rsid w:val="00E86E0B"/>
    <w:rsid w:val="00E91D7A"/>
    <w:rsid w:val="00E927EF"/>
    <w:rsid w:val="00E93DB8"/>
    <w:rsid w:val="00EB691F"/>
    <w:rsid w:val="00EC16F9"/>
    <w:rsid w:val="00ED5E8E"/>
    <w:rsid w:val="00EE0C4E"/>
    <w:rsid w:val="00EE3238"/>
    <w:rsid w:val="00EF0A0D"/>
    <w:rsid w:val="00F01B82"/>
    <w:rsid w:val="00F74536"/>
    <w:rsid w:val="00F91507"/>
    <w:rsid w:val="00F944D1"/>
    <w:rsid w:val="00F9582D"/>
    <w:rsid w:val="00FF6D96"/>
    <w:rsid w:val="0AFE677F"/>
    <w:rsid w:val="0B957AC8"/>
    <w:rsid w:val="13F46147"/>
    <w:rsid w:val="1D16498D"/>
    <w:rsid w:val="34E154B9"/>
    <w:rsid w:val="351901A3"/>
    <w:rsid w:val="36591D3F"/>
    <w:rsid w:val="45786F1B"/>
    <w:rsid w:val="49BE139C"/>
    <w:rsid w:val="4ABC53C3"/>
    <w:rsid w:val="50911E9F"/>
    <w:rsid w:val="5E4C4864"/>
    <w:rsid w:val="65135B1B"/>
    <w:rsid w:val="69FE6BEF"/>
    <w:rsid w:val="7C2B64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Balloon Text"/>
    <w:basedOn w:val="1"/>
    <w:link w:val="9"/>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unhideWhenUsed/>
    <w:qFormat/>
    <w:uiPriority w:val="99"/>
    <w:rPr>
      <w:sz w:val="21"/>
      <w:szCs w:val="21"/>
    </w:rPr>
  </w:style>
  <w:style w:type="character" w:customStyle="1" w:styleId="9">
    <w:name w:val="批注框文本 Char"/>
    <w:basedOn w:val="7"/>
    <w:link w:val="3"/>
    <w:semiHidden/>
    <w:qFormat/>
    <w:uiPriority w:val="99"/>
    <w:rPr>
      <w:sz w:val="18"/>
      <w:szCs w:val="18"/>
    </w:rPr>
  </w:style>
  <w:style w:type="character" w:customStyle="1" w:styleId="10">
    <w:name w:val="页眉 Char"/>
    <w:basedOn w:val="7"/>
    <w:link w:val="5"/>
    <w:qFormat/>
    <w:uiPriority w:val="99"/>
    <w:rPr>
      <w:sz w:val="18"/>
      <w:szCs w:val="18"/>
    </w:rPr>
  </w:style>
  <w:style w:type="character" w:customStyle="1" w:styleId="11">
    <w:name w:val="页脚 Char"/>
    <w:basedOn w:val="7"/>
    <w:link w:val="4"/>
    <w:qFormat/>
    <w:uiPriority w:val="99"/>
    <w:rPr>
      <w:sz w:val="18"/>
      <w:szCs w:val="18"/>
    </w:rPr>
  </w:style>
  <w:style w:type="paragraph" w:customStyle="1" w:styleId="12">
    <w:name w:val="列出段落1"/>
    <w:basedOn w:val="1"/>
    <w:qFormat/>
    <w:uiPriority w:val="34"/>
    <w:pPr>
      <w:ind w:firstLine="420" w:firstLineChars="200"/>
    </w:pPr>
  </w:style>
  <w:style w:type="paragraph" w:customStyle="1" w:styleId="13">
    <w:name w:val="Default"/>
    <w:qFormat/>
    <w:uiPriority w:val="0"/>
    <w:pPr>
      <w:widowControl w:val="0"/>
      <w:autoSpaceDE w:val="0"/>
      <w:autoSpaceDN w:val="0"/>
      <w:adjustRightInd w:val="0"/>
    </w:pPr>
    <w:rPr>
      <w:rFonts w:ascii="宋体.趈癷.癷." w:eastAsia="宋体.趈癷.癷." w:cs="宋体.趈癷.癷."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40CA00-860E-49D1-AA52-DB2E798EFD09}">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Pages>
  <Words>678</Words>
  <Characters>3865</Characters>
  <Lines>32</Lines>
  <Paragraphs>9</Paragraphs>
  <TotalTime>4</TotalTime>
  <ScaleCrop>false</ScaleCrop>
  <LinksUpToDate>false</LinksUpToDate>
  <CharactersWithSpaces>4534</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2020-12-30T03:38:00Z</dcterms:created>
  <dc:creator>公娜</dc:creator>
  <cp:lastModifiedBy>王晋京</cp:lastModifiedBy>
  <cp:lastPrinted>2018-02-01T07:15:00Z</cp:lastPrinted>
  <dcterms:modified xsi:type="dcterms:W3CDTF">2022-09-13T07:53:37Z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