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154D1F93">
      <w:pPr>
        <w:rPr>
          <w:sz w:val="48"/>
        </w:rPr>
      </w:pPr>
    </w:p>
    <w:p w14:paraId="384E8322">
      <w:pPr>
        <w:rPr>
          <w:sz w:val="48"/>
        </w:rPr>
      </w:pPr>
    </w:p>
    <w:p w14:paraId="1047EDDE"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 xml:space="preserve">鸿运财富2026年4号 </w:t>
      </w:r>
    </w:p>
    <w:p w14:paraId="7E91D562"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2026年半年度</w:t>
      </w:r>
      <w:r>
        <w:rPr>
          <w:rFonts w:hint="eastAsia" w:ascii="宋体" w:hAnsi="宋体"/>
          <w:b/>
          <w:bCs/>
          <w:sz w:val="48"/>
          <w:szCs w:val="30"/>
        </w:rPr>
        <w:t>报告</w:t>
      </w:r>
    </w:p>
    <w:p w14:paraId="39C2E130">
      <w:pPr>
        <w:jc w:val="center"/>
        <w:rPr>
          <w:rFonts w:ascii="宋体" w:hAnsi="宋体"/>
          <w:b/>
          <w:bCs/>
          <w:sz w:val="28"/>
          <w:szCs w:val="30"/>
        </w:rPr>
      </w:pPr>
    </w:p>
    <w:p w14:paraId="66EDD179">
      <w:pPr>
        <w:jc w:val="center"/>
        <w:rPr>
          <w:rFonts w:ascii="宋体" w:hAnsi="宋体"/>
          <w:sz w:val="28"/>
          <w:szCs w:val="30"/>
        </w:rPr>
      </w:pPr>
    </w:p>
    <w:p w14:paraId="6E84CD69">
      <w:pPr>
        <w:jc w:val="center"/>
        <w:rPr>
          <w:rFonts w:ascii="宋体" w:hAnsi="宋体"/>
          <w:sz w:val="28"/>
          <w:szCs w:val="30"/>
        </w:rPr>
      </w:pPr>
    </w:p>
    <w:p w14:paraId="3BAE7797">
      <w:pPr>
        <w:jc w:val="center"/>
        <w:rPr>
          <w:rFonts w:ascii="宋体" w:hAnsi="宋体"/>
          <w:sz w:val="28"/>
          <w:szCs w:val="30"/>
        </w:rPr>
      </w:pPr>
    </w:p>
    <w:p w14:paraId="7F611235">
      <w:pPr>
        <w:jc w:val="center"/>
        <w:rPr>
          <w:rFonts w:ascii="宋体" w:hAnsi="宋体"/>
          <w:sz w:val="28"/>
          <w:szCs w:val="30"/>
        </w:rPr>
      </w:pPr>
    </w:p>
    <w:p w14:paraId="31C7A253">
      <w:pPr>
        <w:jc w:val="center"/>
        <w:rPr>
          <w:rFonts w:ascii="宋体" w:hAnsi="宋体"/>
          <w:sz w:val="28"/>
          <w:szCs w:val="30"/>
        </w:rPr>
      </w:pPr>
    </w:p>
    <w:p w14:paraId="56B099CA">
      <w:pPr>
        <w:jc w:val="center"/>
        <w:rPr>
          <w:rFonts w:ascii="宋体" w:hAnsi="宋体"/>
          <w:sz w:val="28"/>
          <w:szCs w:val="30"/>
        </w:rPr>
      </w:pPr>
    </w:p>
    <w:p w14:paraId="66E4EF06">
      <w:pPr>
        <w:jc w:val="center"/>
        <w:rPr>
          <w:rFonts w:ascii="宋体" w:hAnsi="宋体"/>
          <w:sz w:val="28"/>
          <w:szCs w:val="30"/>
        </w:rPr>
      </w:pPr>
    </w:p>
    <w:p w14:paraId="799D9169">
      <w:pPr>
        <w:jc w:val="center"/>
        <w:rPr>
          <w:rFonts w:ascii="宋体" w:hAnsi="宋体"/>
          <w:sz w:val="28"/>
          <w:szCs w:val="30"/>
        </w:rPr>
      </w:pPr>
    </w:p>
    <w:p w14:paraId="7CE1712A">
      <w:pPr>
        <w:jc w:val="center"/>
        <w:rPr>
          <w:rFonts w:ascii="宋体" w:hAnsi="宋体"/>
          <w:sz w:val="28"/>
          <w:szCs w:val="30"/>
        </w:rPr>
      </w:pPr>
    </w:p>
    <w:p w14:paraId="4760B832">
      <w:pPr>
        <w:jc w:val="center"/>
        <w:rPr>
          <w:rFonts w:ascii="宋体" w:hAnsi="宋体"/>
          <w:sz w:val="28"/>
          <w:szCs w:val="30"/>
        </w:rPr>
      </w:pPr>
    </w:p>
    <w:p w14:paraId="785EB2F2">
      <w:pPr>
        <w:jc w:val="center"/>
        <w:rPr>
          <w:rFonts w:ascii="宋体" w:hAnsi="宋体"/>
          <w:sz w:val="28"/>
          <w:szCs w:val="30"/>
        </w:rPr>
      </w:pPr>
    </w:p>
    <w:p w14:paraId="4BE7309A"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产品管理人：齐鲁银行股份有限公司</w:t>
      </w:r>
    </w:p>
    <w:p w14:paraId="07B523D1"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产品托管人：中国工商银行股份有限公司</w:t>
      </w:r>
    </w:p>
    <w:p w14:paraId="7CBE2049"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 w14:paraId="4D5BF208"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 w14:paraId="47CAD9A2"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 w14:paraId="69DB3200">
      <w:pPr>
        <w:rPr>
          <w:rFonts w:ascii="宋体" w:hAnsi="宋体"/>
          <w:sz w:val="28"/>
          <w:szCs w:val="30"/>
        </w:rPr>
      </w:pPr>
    </w:p>
    <w:p w14:paraId="085228B7">
      <w:pPr>
        <w:jc w:val="center"/>
        <w:rPr>
          <w:rFonts w:ascii="宋体" w:hAnsi="宋体"/>
          <w:b/>
          <w:bCs/>
          <w:sz w:val="28"/>
          <w:szCs w:val="30"/>
        </w:rPr>
      </w:pPr>
    </w:p>
    <w:p w14:paraId="4622D2E4"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1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>重要提示</w:t>
      </w:r>
    </w:p>
    <w:p w14:paraId="67F45462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产品管理人的董事会及董事保证本报告所载资料不存在虚假记载、误导性陈述或重大遗漏，并对其内容的真实性、准确性和完整性承担个别及连带责任。</w:t>
      </w:r>
    </w:p>
    <w:p w14:paraId="4718F22C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产品管理人承诺以诚实信用、勤勉尽责的原则管理和运用产品资产，但不保证产品一定盈利。　</w:t>
      </w:r>
    </w:p>
    <w:p w14:paraId="1288EFF8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产品的过往业绩并不代表其未来表现。投资有风险，投资者在作出投资决策前应仔细阅读本产品的产品说明书。</w:t>
      </w:r>
    </w:p>
    <w:p w14:paraId="326C7396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本报告中财务资料未经审计。</w:t>
      </w:r>
    </w:p>
    <w:p w14:paraId="65590B96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本</w:t>
      </w:r>
      <w:r>
        <w:rPr>
          <w:rFonts w:ascii="宋体" w:hAnsi="宋体" w:cs="宋体"/>
          <w:color w:val="000000"/>
          <w:sz w:val="24"/>
          <w:szCs w:val="24"/>
        </w:rPr>
        <w:t>报告期</w:t>
      </w:r>
      <w:r>
        <w:rPr>
          <w:rFonts w:hint="eastAsia" w:ascii="宋体" w:hAnsi="宋体" w:cs="宋体"/>
          <w:color w:val="000000"/>
          <w:sz w:val="24"/>
          <w:szCs w:val="24"/>
        </w:rPr>
        <w:t>自 2026-02-25</w:t>
      </w:r>
      <w:r>
        <w:rPr>
          <w:rFonts w:ascii="宋体" w:hAnsi="宋体" w:cs="宋体"/>
          <w:color w:val="000000"/>
          <w:sz w:val="24"/>
          <w:szCs w:val="24"/>
        </w:rPr>
        <w:t xml:space="preserve"> </w:t>
      </w:r>
      <w:r>
        <w:rPr>
          <w:rFonts w:hint="eastAsia" w:ascii="宋体" w:hAnsi="宋体" w:cs="宋体"/>
          <w:color w:val="000000"/>
          <w:sz w:val="24"/>
          <w:szCs w:val="24"/>
        </w:rPr>
        <w:t>起至 2026-06-30</w:t>
      </w:r>
      <w:r>
        <w:rPr>
          <w:rFonts w:ascii="宋体" w:hAnsi="宋体" w:cs="宋体"/>
          <w:color w:val="000000"/>
          <w:sz w:val="24"/>
          <w:szCs w:val="24"/>
        </w:rPr>
        <w:t xml:space="preserve"> 止。</w:t>
      </w:r>
    </w:p>
    <w:p w14:paraId="5DEF9D01"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2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 xml:space="preserve">产品概况 </w:t>
      </w: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 w14:paraId="754B6DA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22E0EE">
            <w:pPr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2.1 产品基本情况</w:t>
            </w:r>
          </w:p>
        </w:tc>
      </w:tr>
    </w:tbl>
    <w:p w14:paraId="30B31AE9">
      <w:pPr>
        <w:rPr>
          <w:vanish/>
          <w:sz w:val="24"/>
          <w:szCs w:val="24"/>
        </w:rPr>
      </w:pPr>
    </w:p>
    <w:tbl>
      <w:tblPr>
        <w:tblStyle w:val="17"/>
        <w:tblW w:w="89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97"/>
        <w:gridCol w:w="4483"/>
      </w:tblGrid>
      <w:tr w14:paraId="1C1A15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449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18" w:type="dxa"/>
              <w:bottom w:w="10" w:type="dxa"/>
              <w:right w:w="118" w:type="dxa"/>
            </w:tcMar>
          </w:tcPr>
          <w:p w14:paraId="5358AF68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产品中文商业全称</w:t>
            </w:r>
          </w:p>
        </w:tc>
        <w:tc>
          <w:tcPr>
            <w:tcW w:w="448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08" w:type="dxa"/>
              <w:bottom w:w="10" w:type="dxa"/>
              <w:right w:w="118" w:type="dxa"/>
            </w:tcMar>
          </w:tcPr>
          <w:p w14:paraId="658DC3B6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鸿运财富2026年4号</w:t>
            </w:r>
          </w:p>
        </w:tc>
      </w:tr>
      <w:tr w14:paraId="7B3A6A0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59982806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产品登记编码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02239DFF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 xml:space="preserve">C1088126000008 </w:t>
            </w:r>
          </w:p>
        </w:tc>
      </w:tr>
      <w:tr w14:paraId="2E91C2D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4E9ADAB5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产品成立/起始日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6934076B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 xml:space="preserve">2026-02-25 </w:t>
            </w:r>
          </w:p>
        </w:tc>
      </w:tr>
      <w:tr w14:paraId="1E3A52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010810C1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报告期末产品份额总额（份）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5531FCE2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 xml:space="preserve">259,270,000.00 </w:t>
            </w:r>
          </w:p>
        </w:tc>
      </w:tr>
      <w:tr w14:paraId="78CD41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1F9BF01E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业绩比较基准（%）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7861A62D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 w14:paraId="31C002B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5AB23308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26004B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4447293D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2.4/年</w:t>
            </w:r>
          </w:p>
        </w:tc>
      </w:tr>
      <w:tr w14:paraId="090E77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185FBE27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26004X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77E7CEEC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2.45/年</w:t>
            </w:r>
          </w:p>
        </w:tc>
      </w:tr>
      <w:tr w14:paraId="6DC540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74905979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26004F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75C9A06D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2.45/年</w:t>
            </w:r>
          </w:p>
        </w:tc>
      </w:tr>
      <w:tr w14:paraId="3D72D92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66439AB6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26004H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1A55BBFD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2.38/年</w:t>
            </w:r>
          </w:p>
        </w:tc>
      </w:tr>
      <w:tr w14:paraId="5648E4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5A7294C0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26004L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218885F0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2.45/年</w:t>
            </w:r>
          </w:p>
        </w:tc>
      </w:tr>
      <w:tr w14:paraId="30E1B2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75E9E3F4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26004A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34E49141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2.35/年</w:t>
            </w:r>
          </w:p>
        </w:tc>
      </w:tr>
      <w:tr w14:paraId="15004C4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653B9592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26004C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2D3C35F4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2.37/年</w:t>
            </w:r>
          </w:p>
        </w:tc>
      </w:tr>
      <w:tr w14:paraId="21A0AA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69FABFC4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杠杆水平（%）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75F95542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/>
                <w:color w:val="000000"/>
                <w:kern w:val="2"/>
              </w:rPr>
              <w:t>123.61</w:t>
            </w:r>
          </w:p>
        </w:tc>
      </w:tr>
      <w:tr w14:paraId="087E501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5FA58318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销售手续费率（%）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51039848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 w14:paraId="141531B7"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19AD7415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26004B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0D904FB5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0.25</w:t>
            </w:r>
          </w:p>
        </w:tc>
      </w:tr>
      <w:tr w14:paraId="7AF4CE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3CFCEEBA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26004X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1F6EB961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0.2</w:t>
            </w:r>
          </w:p>
        </w:tc>
      </w:tr>
      <w:tr w14:paraId="3C59D7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40BA4838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26004F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2DA59C47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0.2</w:t>
            </w:r>
          </w:p>
        </w:tc>
      </w:tr>
      <w:tr w14:paraId="18DC5C4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4F37B02E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26004H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0C144CE2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0.27</w:t>
            </w:r>
          </w:p>
        </w:tc>
      </w:tr>
      <w:tr w14:paraId="01A5281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7612F4E9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26004L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00DEA5C7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0.2</w:t>
            </w:r>
          </w:p>
        </w:tc>
      </w:tr>
      <w:tr w14:paraId="7E2FF4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452203CD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26004A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1DA21B22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0.3</w:t>
            </w:r>
          </w:p>
        </w:tc>
      </w:tr>
      <w:tr w14:paraId="5FEC851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0726CD96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26004C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585AC90F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0.28</w:t>
            </w:r>
          </w:p>
        </w:tc>
      </w:tr>
      <w:tr w14:paraId="29032E0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40AD601D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托管费率（%）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550E230A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0.005</w:t>
            </w:r>
          </w:p>
        </w:tc>
      </w:tr>
      <w:tr w14:paraId="43B914F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0B8EE052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固定管理费率（%）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182D9390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0.2</w:t>
            </w:r>
          </w:p>
        </w:tc>
      </w:tr>
      <w:tr w14:paraId="4885D8B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56C9F0ED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其他费率（%）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52AB6D4B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 w14:paraId="55083B9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0083D9D0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业绩报酬（元）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1FEB3691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0.00</w:t>
            </w:r>
          </w:p>
        </w:tc>
      </w:tr>
    </w:tbl>
    <w:p w14:paraId="40AC8299">
      <w:pPr>
        <w:ind w:firstLine="400"/>
        <w:jc w:val="center"/>
        <w:rPr>
          <w:rFonts w:eastAsia="Times New Roman"/>
        </w:rPr>
      </w:pPr>
      <w:r>
        <w:rPr>
          <w:rFonts w:eastAsia="Times New Roman"/>
        </w:rPr>
        <w:t> </w:t>
      </w:r>
    </w:p>
    <w:p w14:paraId="1E532BFA"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3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>主要财务指标和产品净值表现</w:t>
      </w: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 w14:paraId="5DA323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AFFCD8">
            <w:pPr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3.1 主要财务指标</w:t>
            </w:r>
          </w:p>
        </w:tc>
      </w:tr>
    </w:tbl>
    <w:p w14:paraId="49BB17C6">
      <w:pPr>
        <w:rPr>
          <w:rFonts w:ascii="宋体" w:hAnsi="宋体"/>
          <w:vanish/>
          <w:sz w:val="24"/>
          <w:szCs w:val="24"/>
        </w:rPr>
      </w:pP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 w14:paraId="4E461D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773BEA">
            <w:pPr>
              <w:pStyle w:val="51"/>
              <w:jc w:val="righ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单位：元、元/份</w:t>
            </w:r>
          </w:p>
        </w:tc>
      </w:tr>
    </w:tbl>
    <w:p w14:paraId="044E582C">
      <w:pPr>
        <w:rPr>
          <w:rFonts w:ascii="宋体" w:hAnsi="宋体"/>
          <w:vanish/>
          <w:sz w:val="24"/>
          <w:szCs w:val="24"/>
        </w:rPr>
      </w:pPr>
    </w:p>
    <w:tbl>
      <w:tblPr>
        <w:tblStyle w:val="17"/>
        <w:tblW w:w="915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81"/>
        <w:gridCol w:w="4571"/>
      </w:tblGrid>
      <w:tr w14:paraId="2B85A1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458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18" w:type="dxa"/>
              <w:bottom w:w="10" w:type="dxa"/>
              <w:right w:w="118" w:type="dxa"/>
            </w:tcMar>
            <w:vAlign w:val="center"/>
          </w:tcPr>
          <w:p w14:paraId="4D08A556">
            <w:pPr>
              <w:pStyle w:val="52"/>
              <w:spacing w:line="40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主要财务指标</w:t>
            </w:r>
          </w:p>
        </w:tc>
        <w:tc>
          <w:tcPr>
            <w:tcW w:w="457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08" w:type="dxa"/>
              <w:bottom w:w="10" w:type="dxa"/>
              <w:right w:w="118" w:type="dxa"/>
            </w:tcMar>
            <w:vAlign w:val="center"/>
          </w:tcPr>
          <w:p w14:paraId="29C79D36">
            <w:pPr>
              <w:pStyle w:val="51"/>
              <w:spacing w:line="40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2026-02-25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>  </w:t>
            </w:r>
            <w:r>
              <w:rPr>
                <w:rFonts w:hint="eastAsia" w:ascii="宋体" w:hAnsi="宋体" w:cs="宋体"/>
                <w:color w:val="000000"/>
                <w:kern w:val="2"/>
              </w:rPr>
              <w:t>至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kern w:val="2"/>
              </w:rPr>
              <w:t xml:space="preserve"> 2026-06-30</w:t>
            </w:r>
          </w:p>
        </w:tc>
      </w:tr>
      <w:tr w14:paraId="0CB0DD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02938F3F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1.期末产品资产净值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72AA32F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261,429,737.69</w:t>
            </w:r>
          </w:p>
        </w:tc>
      </w:tr>
      <w:tr w14:paraId="0F02C7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</w:tcPr>
          <w:p w14:paraId="5DC9C799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其中： 26004A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700389C4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50,405,616.63</w:t>
            </w:r>
          </w:p>
        </w:tc>
      </w:tr>
      <w:tr w14:paraId="3173892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</w:tcPr>
          <w:p w14:paraId="6DBE0208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26004B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3F8C1930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29,714,156.99</w:t>
            </w:r>
          </w:p>
        </w:tc>
      </w:tr>
      <w:tr w14:paraId="487C50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</w:tcPr>
          <w:p w14:paraId="0B14AF39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26004C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31A9ADF6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30,245,441.25</w:t>
            </w:r>
          </w:p>
        </w:tc>
      </w:tr>
      <w:tr w14:paraId="594F081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</w:tcPr>
          <w:p w14:paraId="6339A26E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26004F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7C05739B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90,559,486.83</w:t>
            </w:r>
          </w:p>
        </w:tc>
      </w:tr>
      <w:tr w14:paraId="5C9BEE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</w:tcPr>
          <w:p w14:paraId="331B5C12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26004H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6ABC3B1A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10,082,158.94</w:t>
            </w:r>
          </w:p>
        </w:tc>
      </w:tr>
      <w:tr w14:paraId="5E42317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</w:tcPr>
          <w:p w14:paraId="35008A94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26004L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44BE0A13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20,169,150.83</w:t>
            </w:r>
          </w:p>
        </w:tc>
      </w:tr>
      <w:tr w14:paraId="084CE1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</w:tcPr>
          <w:p w14:paraId="7F2DB417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26004X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3C1436FE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30,253,726.22</w:t>
            </w:r>
          </w:p>
        </w:tc>
      </w:tr>
      <w:tr w14:paraId="2D40E6A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634222B0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2.期末产品份额净值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7B69D751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1.00833007</w:t>
            </w:r>
          </w:p>
        </w:tc>
      </w:tr>
      <w:tr w14:paraId="2E98B29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1D27171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其中： 26004A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D0AA49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1.00811233</w:t>
            </w:r>
          </w:p>
        </w:tc>
      </w:tr>
      <w:tr w14:paraId="77F0D43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38191DB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26004B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290C21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1.00828493</w:t>
            </w:r>
          </w:p>
        </w:tc>
      </w:tr>
      <w:tr w14:paraId="1586663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C5C2EBE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26004C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307833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1.00818137</w:t>
            </w:r>
          </w:p>
        </w:tc>
      </w:tr>
      <w:tr w14:paraId="30354D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8648CC1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26004F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0012CE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1.00845753</w:t>
            </w:r>
          </w:p>
        </w:tc>
      </w:tr>
      <w:tr w14:paraId="5B3978D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557FA9C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26004H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C878F4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1.00821589</w:t>
            </w:r>
          </w:p>
        </w:tc>
      </w:tr>
      <w:tr w14:paraId="48A2009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D3123BC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26004L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D1CD9C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1.00845754</w:t>
            </w:r>
          </w:p>
        </w:tc>
      </w:tr>
      <w:tr w14:paraId="253C58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22FE4F6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26004X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093907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1.00845754</w:t>
            </w:r>
          </w:p>
        </w:tc>
      </w:tr>
      <w:tr w14:paraId="24D2F4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763927D8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3.期末产品份额累计净值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344FA1C4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1.00833007</w:t>
            </w:r>
          </w:p>
        </w:tc>
      </w:tr>
      <w:tr w14:paraId="1E49ACC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836571F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其中： 26004A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CC4981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1.00811233</w:t>
            </w:r>
          </w:p>
        </w:tc>
      </w:tr>
      <w:tr w14:paraId="63A9214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9B65A03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26004B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67066B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1.00828493</w:t>
            </w:r>
          </w:p>
        </w:tc>
      </w:tr>
      <w:tr w14:paraId="0B5506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B32E524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26004C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802758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1.00818137</w:t>
            </w:r>
          </w:p>
        </w:tc>
      </w:tr>
      <w:tr w14:paraId="513CB7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E25B3B2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26004F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53F2D2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1.00845753</w:t>
            </w:r>
          </w:p>
        </w:tc>
      </w:tr>
      <w:tr w14:paraId="4B0614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7D687EA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26004H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611EC1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1.00821589</w:t>
            </w:r>
          </w:p>
        </w:tc>
      </w:tr>
      <w:tr w14:paraId="6F7DF9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A906B6C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26004L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C20C3D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1.00845754</w:t>
            </w:r>
          </w:p>
        </w:tc>
      </w:tr>
      <w:tr w14:paraId="494AA63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59BFDA4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26004X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339E65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1.00845754</w:t>
            </w:r>
          </w:p>
        </w:tc>
      </w:tr>
      <w:tr w14:paraId="56951C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4D4A5C03">
            <w:pPr>
              <w:pStyle w:val="51"/>
              <w:spacing w:line="320" w:lineRule="atLeast"/>
              <w:rPr>
                <w:rFonts w:hint="default"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4.本报告期累计净值增长率</w:t>
            </w:r>
            <w:r>
              <w:rPr>
                <w:rFonts w:hint="eastAsia" w:ascii="宋体" w:hAnsi="宋体" w:cs="宋体"/>
                <w:color w:val="000000"/>
                <w:kern w:val="2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2"/>
                <w:lang w:val="en-US" w:eastAsia="zh-CN"/>
              </w:rPr>
              <w:t>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5FF76CF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0.83</w:t>
            </w:r>
          </w:p>
        </w:tc>
      </w:tr>
      <w:tr w14:paraId="1E782A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EC7FA20">
            <w:pPr>
              <w:pStyle w:val="51"/>
              <w:spacing w:line="320" w:lineRule="atLeast"/>
              <w:ind w:hanging="1"/>
              <w:jc w:val="left"/>
              <w:rPr>
                <w:rFonts w:hint="default"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其中： 26004A（%）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09324E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0.81</w:t>
            </w:r>
          </w:p>
        </w:tc>
      </w:tr>
      <w:tr w14:paraId="2A9E3E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6B69DEB">
            <w:pPr>
              <w:pStyle w:val="51"/>
              <w:spacing w:line="320" w:lineRule="atLeast"/>
              <w:ind w:hanging="1"/>
              <w:jc w:val="left"/>
              <w:rPr>
                <w:rFonts w:hint="default"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26004B（%）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F2D138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0.83</w:t>
            </w:r>
          </w:p>
        </w:tc>
      </w:tr>
      <w:tr w14:paraId="7A0EA8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AB7EE68">
            <w:pPr>
              <w:pStyle w:val="51"/>
              <w:spacing w:line="320" w:lineRule="atLeast"/>
              <w:ind w:hanging="1"/>
              <w:jc w:val="left"/>
              <w:rPr>
                <w:rFonts w:hint="default"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26004C（%）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FDBBC3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0.82</w:t>
            </w:r>
          </w:p>
        </w:tc>
      </w:tr>
      <w:tr w14:paraId="2D5F8B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BB2363C">
            <w:pPr>
              <w:pStyle w:val="51"/>
              <w:spacing w:line="320" w:lineRule="atLeast"/>
              <w:ind w:hanging="1"/>
              <w:jc w:val="left"/>
              <w:rPr>
                <w:rFonts w:hint="default"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26004F（%）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1C9EDF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0.85</w:t>
            </w:r>
          </w:p>
        </w:tc>
      </w:tr>
      <w:tr w14:paraId="2EB2AA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D8D2BC0">
            <w:pPr>
              <w:pStyle w:val="51"/>
              <w:spacing w:line="320" w:lineRule="atLeast"/>
              <w:ind w:hanging="1"/>
              <w:jc w:val="left"/>
              <w:rPr>
                <w:rFonts w:hint="default"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26004H（%）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A2EFD4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0.82</w:t>
            </w:r>
          </w:p>
        </w:tc>
      </w:tr>
      <w:tr w14:paraId="6E5B750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88B848C">
            <w:pPr>
              <w:pStyle w:val="51"/>
              <w:spacing w:line="320" w:lineRule="atLeast"/>
              <w:ind w:hanging="1"/>
              <w:jc w:val="left"/>
              <w:rPr>
                <w:rFonts w:hint="default"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26004L（%）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7278EA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0.85</w:t>
            </w:r>
          </w:p>
        </w:tc>
      </w:tr>
      <w:tr w14:paraId="4618CE9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84EACFE">
            <w:pPr>
              <w:pStyle w:val="51"/>
              <w:spacing w:line="320" w:lineRule="atLeast"/>
              <w:ind w:hanging="1"/>
              <w:jc w:val="left"/>
              <w:rPr>
                <w:rFonts w:hint="default"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26004X（%）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1D7D65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0.85</w:t>
            </w:r>
          </w:p>
        </w:tc>
      </w:tr>
    </w:tbl>
    <w:p w14:paraId="48C05D88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>注：除产品合同和说明书另有规定外，期末产品份额净值、期末产品份额累计净值按截位法保留至小数点后第8</w:t>
      </w:r>
      <w:r>
        <w:rPr>
          <w:rFonts w:hint="eastAsia" w:ascii="宋体" w:hAnsi="宋体" w:cs="宋体"/>
          <w:color w:val="000000"/>
          <w:sz w:val="24"/>
          <w:szCs w:val="24"/>
        </w:rPr>
        <w:t>位，其他财务指标保留至小数点后第2位。</w:t>
      </w:r>
    </w:p>
    <w:p w14:paraId="0704616D">
      <w:pPr>
        <w:ind w:firstLine="400"/>
        <w:jc w:val="center"/>
        <w:rPr>
          <w:rFonts w:eastAsiaTheme="minorEastAsia"/>
        </w:rPr>
      </w:pPr>
    </w:p>
    <w:p w14:paraId="419C4030"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4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>投资组合报告</w:t>
      </w:r>
    </w:p>
    <w:p w14:paraId="610A18B1"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 w14:paraId="0D5A048A"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 w14:paraId="79681A76"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 w14:paraId="09D90F65">
      <w:pPr>
        <w:jc w:val="left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4.1 管理人对报告期内投资组合的投资策略说明</w:t>
      </w:r>
    </w:p>
    <w:p w14:paraId="395F0F4F">
      <w:pPr>
        <w:jc w:val="left"/>
        <w:rPr>
          <w:rFonts w:hint="eastAsia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4.1.1 </w:t>
      </w:r>
      <w:r>
        <w:rPr>
          <w:rFonts w:hint="eastAsia" w:ascii="宋体" w:hAnsi="宋体" w:cs="宋体"/>
          <w:color w:val="000000"/>
          <w:sz w:val="24"/>
          <w:szCs w:val="24"/>
        </w:rPr>
        <w:t>投资组合的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投资策略和运作分析</w:t>
      </w:r>
    </w:p>
    <w:p w14:paraId="049792BC">
      <w:pPr>
        <w:spacing w:line="360" w:lineRule="auto"/>
        <w:ind w:firstLine="480" w:firstLineChars="200"/>
        <w:jc w:val="left"/>
        <w:rPr>
          <w:rFonts w:hint="default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default" w:ascii="宋体" w:hAnsi="宋体" w:cs="宋体"/>
          <w:color w:val="000000"/>
          <w:sz w:val="24"/>
          <w:szCs w:val="24"/>
          <w:lang w:val="en-US" w:eastAsia="zh-CN"/>
        </w:rPr>
        <w:t>2026年上半年，在经济弱复苏、货币政策宽松的背景下，债券市场呈现“震荡走强”格局。一季度，国内经济弱复苏，货币政策维持适度宽松基调，外围扰动加大，债券收益率震荡下行。1月在股债跷跷板效应以及年初配置盘集中入场的影响下，债券收益率先上后下；2月资金宽松主导债券市场定价，收益率持续下行；3月美伊战争引发的通胀预期和资金宽松影响下，债券长短行情分化，曲线收益率陡峭化，整体震荡偏强。二季度在经济基本面数据偏弱的背景下，资金成为影响市场收益率定价的核心因素。4月流动性超预期宽松，收益率下行；5月资金松紧交替、整体偏松；6月流动性转紧，债券收益率反弹后进入窄幅震荡阶段。</w:t>
      </w:r>
    </w:p>
    <w:p w14:paraId="17C64669">
      <w:pPr>
        <w:spacing w:line="360" w:lineRule="auto"/>
        <w:ind w:firstLine="480" w:firstLineChars="200"/>
        <w:jc w:val="left"/>
        <w:rPr>
          <w:rFonts w:hint="default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default" w:ascii="宋体" w:hAnsi="宋体" w:cs="宋体"/>
          <w:color w:val="000000"/>
          <w:sz w:val="24"/>
          <w:szCs w:val="24"/>
          <w:lang w:val="en-US" w:eastAsia="zh-CN"/>
        </w:rPr>
        <w:t>封闭式产品坚持稳健运作的投资理念，通过对国内外宏观经济形势、金融市场运行情况的综合分析，在严格控制风险的前提下，以中高等级信用债为底仓，积极构建和调整投资组合。上半年，组合保持中性久期水平，积极配置利差保护较足的信用资产，维持杠杆策略，同时关注交易活跃品种的波段机会，不断丰富投资品种，根据对后市的研判灵活调整资产久期与杠杆水平，力求为客户提供稳定的投资收益。</w:t>
      </w:r>
    </w:p>
    <w:p w14:paraId="261CDA0E"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4.1.2 </w:t>
      </w:r>
      <w:r>
        <w:rPr>
          <w:rFonts w:hint="eastAsia" w:ascii="宋体" w:hAnsi="宋体" w:cs="宋体"/>
          <w:color w:val="000000"/>
          <w:sz w:val="24"/>
          <w:szCs w:val="24"/>
        </w:rPr>
        <w:t>投资组合的流动性风险分析</w:t>
      </w:r>
    </w:p>
    <w:p w14:paraId="27D161EE">
      <w:pPr>
        <w:spacing w:line="360" w:lineRule="auto"/>
        <w:ind w:firstLine="480" w:firstLineChars="200"/>
        <w:jc w:val="left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本产品投资方向为固收类资产，本行审慎对国内外宏观经济形势、市场利率走势及债券市场资金供求情况综合分析，预测债券市场利率走势，结合流动性预判及各类流动性管理措施，并对各投资品种收益率、波动性、各类风险进行在控制风险的前提下，积极构建及调整投资组合，力争合理的流动性安排。</w:t>
      </w:r>
    </w:p>
    <w:p w14:paraId="71B8E5AE">
      <w:pPr>
        <w:spacing w:line="360" w:lineRule="auto"/>
        <w:ind w:firstLine="480" w:firstLineChars="200"/>
        <w:jc w:val="left"/>
        <w:rPr>
          <w:rFonts w:ascii="宋体" w:hAnsi="宋体" w:cs="宋体"/>
          <w:color w:val="000000"/>
          <w:sz w:val="24"/>
          <w:szCs w:val="24"/>
        </w:rPr>
      </w:pPr>
      <w:bookmarkStart w:id="2" w:name="_GoBack"/>
      <w:bookmarkEnd w:id="2"/>
    </w:p>
    <w:p w14:paraId="4D2D498D"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4.2 报告期末资产情况</w:t>
      </w:r>
    </w:p>
    <w:tbl>
      <w:tblPr>
        <w:tblStyle w:val="17"/>
        <w:tblW w:w="88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830"/>
        <w:gridCol w:w="1616"/>
        <w:gridCol w:w="1692"/>
        <w:gridCol w:w="1666"/>
      </w:tblGrid>
      <w:tr w14:paraId="51D3F5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 w14:paraId="28E6C4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 w14:paraId="61E707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 w14:paraId="6C35CA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直接投资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 w14:paraId="176DE2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间接投资</w:t>
            </w:r>
          </w:p>
        </w:tc>
      </w:tr>
      <w:tr w14:paraId="05757E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continue"/>
            <w:shd w:val="clear" w:color="auto" w:fill="D9D9D9"/>
            <w:vAlign w:val="center"/>
          </w:tcPr>
          <w:p w14:paraId="5D801B1E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447" w:type="dxa"/>
            <w:vMerge w:val="continue"/>
            <w:shd w:val="clear" w:color="auto" w:fill="D9D9D9"/>
            <w:vAlign w:val="center"/>
          </w:tcPr>
          <w:p w14:paraId="686AF72A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830" w:type="dxa"/>
            <w:shd w:val="clear" w:color="auto" w:fill="D9D9D9"/>
            <w:vAlign w:val="center"/>
          </w:tcPr>
          <w:p w14:paraId="2C5CB8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金额</w:t>
            </w:r>
          </w:p>
        </w:tc>
        <w:tc>
          <w:tcPr>
            <w:tcW w:w="1616" w:type="dxa"/>
            <w:shd w:val="clear" w:color="auto" w:fill="D9D9D9"/>
            <w:vAlign w:val="center"/>
          </w:tcPr>
          <w:p w14:paraId="56FF6A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占产品总资产的比例（%）</w:t>
            </w:r>
          </w:p>
        </w:tc>
        <w:tc>
          <w:tcPr>
            <w:tcW w:w="1692" w:type="dxa"/>
            <w:shd w:val="clear" w:color="auto" w:fill="D9D9D9"/>
            <w:vAlign w:val="center"/>
          </w:tcPr>
          <w:p w14:paraId="3057B0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金额</w:t>
            </w:r>
          </w:p>
        </w:tc>
        <w:tc>
          <w:tcPr>
            <w:tcW w:w="1666" w:type="dxa"/>
            <w:shd w:val="clear" w:color="auto" w:fill="D9D9D9"/>
            <w:vAlign w:val="top"/>
          </w:tcPr>
          <w:p w14:paraId="2EFF684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占产品总资产的比例（%）</w:t>
            </w:r>
          </w:p>
        </w:tc>
      </w:tr>
      <w:tr w14:paraId="744F4C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7230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1E2E5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权益投资</w:t>
            </w:r>
          </w:p>
        </w:tc>
        <w:tc>
          <w:tcPr>
            <w:tcW w:w="1830" w:type="dxa"/>
            <w:shd w:val="clear" w:color="auto" w:fill="auto"/>
            <w:vAlign w:val="center"/>
          </w:tcPr>
          <w:p w14:paraId="4060EE9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25A35AF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692" w:type="dxa"/>
            <w:vAlign w:val="center"/>
          </w:tcPr>
          <w:p w14:paraId="525FE27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666" w:type="dxa"/>
            <w:vAlign w:val="center"/>
          </w:tcPr>
          <w:p w14:paraId="0F31B61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</w:tr>
      <w:tr w14:paraId="7D84B1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3CE06EBD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22D5F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其中：普通股</w:t>
            </w:r>
          </w:p>
        </w:tc>
        <w:tc>
          <w:tcPr>
            <w:tcW w:w="1830" w:type="dxa"/>
            <w:shd w:val="clear" w:color="auto" w:fill="auto"/>
            <w:vAlign w:val="center"/>
          </w:tcPr>
          <w:p w14:paraId="4B336A0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1DA8306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692" w:type="dxa"/>
            <w:vAlign w:val="center"/>
          </w:tcPr>
          <w:p w14:paraId="7B0858A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666" w:type="dxa"/>
            <w:vAlign w:val="center"/>
          </w:tcPr>
          <w:p w14:paraId="4E2275C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</w:tr>
      <w:tr w14:paraId="2C89EC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125D93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4ADF7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Style w:val="54"/>
                <w:lang w:val="en-US" w:eastAsia="zh-CN" w:bidi="ar"/>
              </w:rPr>
              <w:t xml:space="preserve">   存托凭证</w:t>
            </w:r>
          </w:p>
        </w:tc>
        <w:tc>
          <w:tcPr>
            <w:tcW w:w="1830" w:type="dxa"/>
            <w:shd w:val="clear" w:color="auto" w:fill="auto"/>
            <w:vAlign w:val="center"/>
          </w:tcPr>
          <w:p w14:paraId="1D3860B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14:paraId="7FFBB503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vAlign w:val="center"/>
          </w:tcPr>
          <w:p w14:paraId="5423D694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center"/>
          </w:tcPr>
          <w:p w14:paraId="2DEE248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0FFC6D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F86A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6C36A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基金投资</w:t>
            </w:r>
          </w:p>
        </w:tc>
        <w:tc>
          <w:tcPr>
            <w:tcW w:w="1830" w:type="dxa"/>
            <w:shd w:val="clear" w:color="auto" w:fill="auto"/>
            <w:vAlign w:val="center"/>
          </w:tcPr>
          <w:p w14:paraId="0ADFFF9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7252184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692" w:type="dxa"/>
            <w:vAlign w:val="center"/>
          </w:tcPr>
          <w:p w14:paraId="32C03AE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1,911,524.99</w:t>
            </w:r>
          </w:p>
        </w:tc>
        <w:tc>
          <w:tcPr>
            <w:tcW w:w="1666" w:type="dxa"/>
            <w:vAlign w:val="center"/>
          </w:tcPr>
          <w:p w14:paraId="2114EBE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0.59</w:t>
            </w:r>
          </w:p>
        </w:tc>
      </w:tr>
      <w:tr w14:paraId="5DD6FD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4902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A4D8C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固定收益投资</w:t>
            </w:r>
          </w:p>
        </w:tc>
        <w:tc>
          <w:tcPr>
            <w:tcW w:w="1830" w:type="dxa"/>
            <w:shd w:val="clear" w:color="auto" w:fill="auto"/>
            <w:vAlign w:val="center"/>
          </w:tcPr>
          <w:p w14:paraId="2721E89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278153832.78 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0FA708D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86.07</w:t>
            </w:r>
          </w:p>
        </w:tc>
        <w:tc>
          <w:tcPr>
            <w:tcW w:w="1692" w:type="dxa"/>
            <w:vAlign w:val="center"/>
          </w:tcPr>
          <w:p w14:paraId="1D721AD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16,052,830.65</w:t>
            </w:r>
          </w:p>
        </w:tc>
        <w:tc>
          <w:tcPr>
            <w:tcW w:w="1666" w:type="dxa"/>
            <w:vAlign w:val="center"/>
          </w:tcPr>
          <w:p w14:paraId="0BB31E1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4.97</w:t>
            </w:r>
          </w:p>
        </w:tc>
      </w:tr>
      <w:tr w14:paraId="3F86F5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0300BD45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6542903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其中：债券</w:t>
            </w:r>
          </w:p>
        </w:tc>
        <w:tc>
          <w:tcPr>
            <w:tcW w:w="1830" w:type="dxa"/>
            <w:shd w:val="clear" w:color="auto" w:fill="auto"/>
            <w:vAlign w:val="center"/>
          </w:tcPr>
          <w:p w14:paraId="666C58D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253189731.16 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32E7839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78.35</w:t>
            </w:r>
          </w:p>
        </w:tc>
        <w:tc>
          <w:tcPr>
            <w:tcW w:w="1692" w:type="dxa"/>
            <w:vAlign w:val="center"/>
          </w:tcPr>
          <w:p w14:paraId="440F253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16,052,830.65</w:t>
            </w:r>
          </w:p>
        </w:tc>
        <w:tc>
          <w:tcPr>
            <w:tcW w:w="1666" w:type="dxa"/>
            <w:vAlign w:val="center"/>
          </w:tcPr>
          <w:p w14:paraId="2628D06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4.97</w:t>
            </w:r>
          </w:p>
        </w:tc>
      </w:tr>
      <w:tr w14:paraId="32CCBE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62C076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36453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资产支持证券</w:t>
            </w:r>
          </w:p>
        </w:tc>
        <w:tc>
          <w:tcPr>
            <w:tcW w:w="1830" w:type="dxa"/>
            <w:shd w:val="clear" w:color="auto" w:fill="auto"/>
            <w:vAlign w:val="center"/>
          </w:tcPr>
          <w:p w14:paraId="71C31E3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24964101.62 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6A8341E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7.73</w:t>
            </w:r>
          </w:p>
        </w:tc>
        <w:tc>
          <w:tcPr>
            <w:tcW w:w="1692" w:type="dxa"/>
            <w:vAlign w:val="center"/>
          </w:tcPr>
          <w:p w14:paraId="4EA0B5D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666" w:type="dxa"/>
            <w:vAlign w:val="center"/>
          </w:tcPr>
          <w:p w14:paraId="51CC52E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</w:tr>
      <w:tr w14:paraId="233A4F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A827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B11C1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金融衍生品投资</w:t>
            </w:r>
          </w:p>
        </w:tc>
        <w:tc>
          <w:tcPr>
            <w:tcW w:w="1830" w:type="dxa"/>
            <w:shd w:val="clear" w:color="auto" w:fill="auto"/>
            <w:vAlign w:val="center"/>
          </w:tcPr>
          <w:p w14:paraId="4432DFD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21CC1AA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692" w:type="dxa"/>
            <w:vAlign w:val="center"/>
          </w:tcPr>
          <w:p w14:paraId="7CD25A8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666" w:type="dxa"/>
            <w:vAlign w:val="center"/>
          </w:tcPr>
          <w:p w14:paraId="28AA7FD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</w:tr>
      <w:tr w14:paraId="5992F0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0C7AE5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0DE31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其中：远期</w:t>
            </w:r>
          </w:p>
        </w:tc>
        <w:tc>
          <w:tcPr>
            <w:tcW w:w="1830" w:type="dxa"/>
            <w:shd w:val="clear" w:color="auto" w:fill="auto"/>
            <w:vAlign w:val="center"/>
          </w:tcPr>
          <w:p w14:paraId="59B5028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7D3B49C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692" w:type="dxa"/>
            <w:vAlign w:val="center"/>
          </w:tcPr>
          <w:p w14:paraId="4B87FB66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center"/>
          </w:tcPr>
          <w:p w14:paraId="05F5DE50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3C4B9D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42C977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8B173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Style w:val="54"/>
                <w:lang w:val="en-US" w:eastAsia="zh-CN" w:bidi="ar"/>
              </w:rPr>
              <w:t xml:space="preserve">      期货</w:t>
            </w:r>
          </w:p>
        </w:tc>
        <w:tc>
          <w:tcPr>
            <w:tcW w:w="1830" w:type="dxa"/>
            <w:shd w:val="clear" w:color="auto" w:fill="auto"/>
            <w:vAlign w:val="center"/>
          </w:tcPr>
          <w:p w14:paraId="613566A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16A33BA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692" w:type="dxa"/>
            <w:vAlign w:val="center"/>
          </w:tcPr>
          <w:p w14:paraId="66BB32D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center"/>
          </w:tcPr>
          <w:p w14:paraId="1AA30FE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559D80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D451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B7DFF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Style w:val="54"/>
                <w:lang w:val="en-US" w:eastAsia="zh-CN" w:bidi="ar"/>
              </w:rPr>
              <w:t xml:space="preserve">      期权</w:t>
            </w:r>
          </w:p>
        </w:tc>
        <w:tc>
          <w:tcPr>
            <w:tcW w:w="1830" w:type="dxa"/>
            <w:shd w:val="clear" w:color="auto" w:fill="auto"/>
            <w:vAlign w:val="center"/>
          </w:tcPr>
          <w:p w14:paraId="545045F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6573A49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692" w:type="dxa"/>
            <w:vAlign w:val="center"/>
          </w:tcPr>
          <w:p w14:paraId="1B50DE0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666" w:type="dxa"/>
            <w:vAlign w:val="center"/>
          </w:tcPr>
          <w:p w14:paraId="040009B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</w:tr>
      <w:tr w14:paraId="04D2AA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0B93A6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D2E8A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Style w:val="54"/>
                <w:lang w:val="en-US" w:eastAsia="zh-CN" w:bidi="ar"/>
              </w:rPr>
              <w:t xml:space="preserve">      权证</w:t>
            </w:r>
          </w:p>
        </w:tc>
        <w:tc>
          <w:tcPr>
            <w:tcW w:w="1830" w:type="dxa"/>
            <w:shd w:val="clear" w:color="auto" w:fill="auto"/>
            <w:vAlign w:val="center"/>
          </w:tcPr>
          <w:p w14:paraId="6FD81AA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1A7C66C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692" w:type="dxa"/>
            <w:vAlign w:val="center"/>
          </w:tcPr>
          <w:p w14:paraId="4C07E2E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center"/>
          </w:tcPr>
          <w:p w14:paraId="035FAD31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0613BA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EA5C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23022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买入返售金融资产</w:t>
            </w:r>
          </w:p>
        </w:tc>
        <w:tc>
          <w:tcPr>
            <w:tcW w:w="1830" w:type="dxa"/>
            <w:shd w:val="clear" w:color="auto" w:fill="auto"/>
            <w:vAlign w:val="center"/>
          </w:tcPr>
          <w:p w14:paraId="460CCFF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3BD25CE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692" w:type="dxa"/>
            <w:vAlign w:val="center"/>
          </w:tcPr>
          <w:p w14:paraId="1464FBB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2,121,167.43</w:t>
            </w:r>
          </w:p>
        </w:tc>
        <w:tc>
          <w:tcPr>
            <w:tcW w:w="1666" w:type="dxa"/>
            <w:vAlign w:val="center"/>
          </w:tcPr>
          <w:p w14:paraId="4671FCF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0.66</w:t>
            </w:r>
          </w:p>
        </w:tc>
      </w:tr>
      <w:tr w14:paraId="57B327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8BD980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FE3B9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其中：买断式回购的买入返售金融资产</w:t>
            </w:r>
          </w:p>
        </w:tc>
        <w:tc>
          <w:tcPr>
            <w:tcW w:w="1830" w:type="dxa"/>
            <w:shd w:val="clear" w:color="auto" w:fill="auto"/>
            <w:vAlign w:val="center"/>
          </w:tcPr>
          <w:p w14:paraId="2ABEE4C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69C6802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692" w:type="dxa"/>
            <w:vAlign w:val="center"/>
          </w:tcPr>
          <w:p w14:paraId="0FD6577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666" w:type="dxa"/>
            <w:vAlign w:val="center"/>
          </w:tcPr>
          <w:p w14:paraId="0593ED3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</w:tr>
      <w:tr w14:paraId="62BDE0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2D4E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292BC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货币市场工具</w:t>
            </w:r>
          </w:p>
        </w:tc>
        <w:tc>
          <w:tcPr>
            <w:tcW w:w="1830" w:type="dxa"/>
            <w:shd w:val="clear" w:color="auto" w:fill="auto"/>
            <w:vAlign w:val="center"/>
          </w:tcPr>
          <w:p w14:paraId="13E81BB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14:paraId="08B0A652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vAlign w:val="center"/>
          </w:tcPr>
          <w:p w14:paraId="3D99DD40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center"/>
          </w:tcPr>
          <w:p w14:paraId="2FEE8D7E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3572F1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4719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BBAC8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银行存款和结算备付金合计</w:t>
            </w:r>
          </w:p>
        </w:tc>
        <w:tc>
          <w:tcPr>
            <w:tcW w:w="1830" w:type="dxa"/>
            <w:shd w:val="clear" w:color="auto" w:fill="auto"/>
            <w:vAlign w:val="center"/>
          </w:tcPr>
          <w:p w14:paraId="223797D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24915912.36 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0C27BC4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7.71 </w:t>
            </w:r>
          </w:p>
        </w:tc>
        <w:tc>
          <w:tcPr>
            <w:tcW w:w="1692" w:type="dxa"/>
            <w:vAlign w:val="center"/>
          </w:tcPr>
          <w:p w14:paraId="0BBC7D5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7,531.50</w:t>
            </w:r>
          </w:p>
        </w:tc>
        <w:tc>
          <w:tcPr>
            <w:tcW w:w="1666" w:type="dxa"/>
            <w:vAlign w:val="center"/>
          </w:tcPr>
          <w:p w14:paraId="7DDDB5D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</w:t>
            </w:r>
          </w:p>
        </w:tc>
      </w:tr>
      <w:tr w14:paraId="43E6FB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42DB48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E0045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其中：银行存款</w:t>
            </w:r>
          </w:p>
        </w:tc>
        <w:tc>
          <w:tcPr>
            <w:tcW w:w="1830" w:type="dxa"/>
            <w:shd w:val="clear" w:color="auto" w:fill="auto"/>
            <w:vAlign w:val="center"/>
          </w:tcPr>
          <w:p w14:paraId="07A646A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231454.83 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6F5D412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0.07 </w:t>
            </w:r>
          </w:p>
        </w:tc>
        <w:tc>
          <w:tcPr>
            <w:tcW w:w="1692" w:type="dxa"/>
            <w:vAlign w:val="center"/>
          </w:tcPr>
          <w:p w14:paraId="34B9752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7,531.50</w:t>
            </w:r>
          </w:p>
        </w:tc>
        <w:tc>
          <w:tcPr>
            <w:tcW w:w="1666" w:type="dxa"/>
            <w:vAlign w:val="center"/>
          </w:tcPr>
          <w:p w14:paraId="1455BE1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</w:t>
            </w:r>
          </w:p>
        </w:tc>
      </w:tr>
      <w:tr w14:paraId="557FE4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C0B748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1A47D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结构性存款</w:t>
            </w:r>
          </w:p>
        </w:tc>
        <w:tc>
          <w:tcPr>
            <w:tcW w:w="1830" w:type="dxa"/>
            <w:shd w:val="clear" w:color="auto" w:fill="auto"/>
            <w:vAlign w:val="center"/>
          </w:tcPr>
          <w:p w14:paraId="71BD133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24684457.53 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49ED51B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7.64 </w:t>
            </w:r>
          </w:p>
        </w:tc>
        <w:tc>
          <w:tcPr>
            <w:tcW w:w="1692" w:type="dxa"/>
            <w:vAlign w:val="center"/>
          </w:tcPr>
          <w:p w14:paraId="722BE64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666" w:type="dxa"/>
            <w:vAlign w:val="center"/>
          </w:tcPr>
          <w:p w14:paraId="03F5027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</w:tr>
      <w:tr w14:paraId="2B8BDC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41CA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19CA2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拆放同业</w:t>
            </w:r>
          </w:p>
        </w:tc>
        <w:tc>
          <w:tcPr>
            <w:tcW w:w="1830" w:type="dxa"/>
            <w:shd w:val="clear" w:color="auto" w:fill="auto"/>
            <w:vAlign w:val="center"/>
          </w:tcPr>
          <w:p w14:paraId="04AA5A6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2204A78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1692" w:type="dxa"/>
            <w:vAlign w:val="center"/>
          </w:tcPr>
          <w:p w14:paraId="5012A8E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666" w:type="dxa"/>
            <w:vAlign w:val="center"/>
          </w:tcPr>
          <w:p w14:paraId="5D00542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</w:tr>
      <w:tr w14:paraId="185ACF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  <w:vAlign w:val="center"/>
          </w:tcPr>
          <w:p w14:paraId="2E6250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520B84E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资管产品</w:t>
            </w:r>
          </w:p>
        </w:tc>
        <w:tc>
          <w:tcPr>
            <w:tcW w:w="1830" w:type="dxa"/>
            <w:shd w:val="clear" w:color="auto" w:fill="auto"/>
            <w:vAlign w:val="center"/>
          </w:tcPr>
          <w:p w14:paraId="73CCA40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20088261.25 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56B262E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6.22 </w:t>
            </w:r>
          </w:p>
        </w:tc>
        <w:tc>
          <w:tcPr>
            <w:tcW w:w="1692" w:type="dxa"/>
            <w:vAlign w:val="center"/>
          </w:tcPr>
          <w:p w14:paraId="7FA5D3E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666" w:type="dxa"/>
            <w:vAlign w:val="center"/>
          </w:tcPr>
          <w:p w14:paraId="1FA4517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</w:tr>
      <w:tr w14:paraId="64A76E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  <w:vAlign w:val="center"/>
          </w:tcPr>
          <w:p w14:paraId="3D216F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1FAE63C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其他资产</w:t>
            </w:r>
          </w:p>
        </w:tc>
        <w:tc>
          <w:tcPr>
            <w:tcW w:w="1830" w:type="dxa"/>
            <w:shd w:val="clear" w:color="auto" w:fill="auto"/>
            <w:vAlign w:val="center"/>
          </w:tcPr>
          <w:p w14:paraId="7C682EC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304786D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1692" w:type="dxa"/>
            <w:vAlign w:val="center"/>
          </w:tcPr>
          <w:p w14:paraId="2EFCBB8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77.69</w:t>
            </w:r>
          </w:p>
        </w:tc>
        <w:tc>
          <w:tcPr>
            <w:tcW w:w="1666" w:type="dxa"/>
            <w:vAlign w:val="center"/>
          </w:tcPr>
          <w:p w14:paraId="05C2DF0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</w:t>
            </w:r>
          </w:p>
        </w:tc>
      </w:tr>
      <w:tr w14:paraId="2DAA03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  <w:vAlign w:val="top"/>
          </w:tcPr>
          <w:p w14:paraId="41F8E0C3"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47" w:type="dxa"/>
            <w:shd w:val="clear" w:color="auto" w:fill="auto"/>
            <w:vAlign w:val="top"/>
          </w:tcPr>
          <w:p w14:paraId="65C599DE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合计</w:t>
            </w:r>
          </w:p>
        </w:tc>
        <w:tc>
          <w:tcPr>
            <w:tcW w:w="1830" w:type="dxa"/>
            <w:shd w:val="clear" w:color="auto" w:fill="auto"/>
            <w:vAlign w:val="center"/>
          </w:tcPr>
          <w:p w14:paraId="44EE82D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323158006.39 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66C0A0C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100.00 </w:t>
            </w:r>
          </w:p>
        </w:tc>
        <w:tc>
          <w:tcPr>
            <w:tcW w:w="1692" w:type="dxa"/>
            <w:vAlign w:val="center"/>
          </w:tcPr>
          <w:p w14:paraId="26F9334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20,093,132.25</w:t>
            </w:r>
          </w:p>
        </w:tc>
        <w:tc>
          <w:tcPr>
            <w:tcW w:w="1666" w:type="dxa"/>
            <w:vAlign w:val="center"/>
          </w:tcPr>
          <w:p w14:paraId="4A21958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6.22</w:t>
            </w:r>
          </w:p>
        </w:tc>
      </w:tr>
    </w:tbl>
    <w:p w14:paraId="223B8937"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金额单位：元</w:t>
      </w:r>
    </w:p>
    <w:p w14:paraId="406AC1A5">
      <w:pPr>
        <w:ind w:left="420" w:leftChars="200"/>
        <w:jc w:val="left"/>
        <w:rPr>
          <w:rFonts w:ascii="宋体" w:hAnsi="宋体"/>
          <w:sz w:val="24"/>
        </w:rPr>
      </w:pPr>
    </w:p>
    <w:p w14:paraId="7844A07F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>注1：间接投资占产品总资产的比例（%）为占本产品总资产的比例（%）。</w:t>
      </w:r>
    </w:p>
    <w:p w14:paraId="357FCF7E">
      <w:pPr>
        <w:ind w:left="420" w:leftChars="200"/>
        <w:jc w:val="left"/>
        <w:rPr>
          <w:rFonts w:asciiTheme="minorEastAsia" w:hAnsiTheme="minorEastAsia" w:eastAsiaTheme="minorEastAsia"/>
          <w:szCs w:val="21"/>
        </w:rPr>
      </w:pPr>
    </w:p>
    <w:p w14:paraId="4CEB35C4"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4.3 报告期末投资前十名资产明细</w:t>
      </w:r>
    </w:p>
    <w:p w14:paraId="42BA27EE"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金额单位：元</w:t>
      </w:r>
    </w:p>
    <w:tbl>
      <w:tblPr>
        <w:tblStyle w:val="17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 w14:paraId="0BC56B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 w14:paraId="42CC9144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 w14:paraId="187D8375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 w14:paraId="20D2C4FC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 w14:paraId="028B1A7F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占产品资产净值比例（%）</w:t>
            </w:r>
          </w:p>
        </w:tc>
      </w:tr>
      <w:tr w14:paraId="26A8D0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 w14:paraId="575CE657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1610B69E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23东营财金ABN001优先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7F79668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24,964,101.62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44045201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bookmarkStart w:id="0" w:name="OLE_LINK6"/>
            <w:bookmarkStart w:id="1" w:name="OLE_LINK5"/>
            <w:r>
              <w:rPr>
                <w:rFonts w:ascii="宋体" w:hAnsi="宋体" w:cs="宋体"/>
                <w:color w:val="000000"/>
                <w:sz w:val="24"/>
                <w:szCs w:val="24"/>
              </w:rPr>
              <w:t>9.55</w:t>
            </w:r>
            <w:bookmarkEnd w:id="0"/>
            <w:bookmarkEnd w:id="1"/>
          </w:p>
        </w:tc>
      </w:tr>
      <w:tr w14:paraId="309A3A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6D732A54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2A6140C4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2026031601渣打银行结构性存款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9E95C20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24,684,457.53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569D04C7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9.44</w:t>
            </w:r>
          </w:p>
        </w:tc>
      </w:tr>
      <w:tr w14:paraId="47F786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08BC18BE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4BBEAEF1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22泰安城投债01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BEF7EFA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24,256,101.52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1735A793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9.28</w:t>
            </w:r>
          </w:p>
        </w:tc>
      </w:tr>
      <w:tr w14:paraId="56340C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7C4802A6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4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125A862B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23重庆银行永续债01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C86F41D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21,890,081.37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54F822AA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8.37</w:t>
            </w:r>
          </w:p>
        </w:tc>
      </w:tr>
      <w:tr w14:paraId="38C390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5DBF23C6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5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4FDB103A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23济南能源MTN002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A477C02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20,699,746.58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0D93459C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7.92</w:t>
            </w:r>
          </w:p>
        </w:tc>
      </w:tr>
      <w:tr w14:paraId="3373ED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105B82C6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6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7F75F9D7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25通汇04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21D1D65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20,641,438.90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150F9DDE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7.90</w:t>
            </w:r>
          </w:p>
        </w:tc>
      </w:tr>
      <w:tr w14:paraId="62272E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31550995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7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6F79BD9D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24济南高新MTN004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4AB5B8C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20,637,940.55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65AB381C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7.89</w:t>
            </w:r>
          </w:p>
        </w:tc>
      </w:tr>
      <w:tr w14:paraId="4A6DBF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63F66335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8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6DFFE0C7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23泰安城投MTN001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BDCFFD8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20,426,302.47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4EAC6828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7.81</w:t>
            </w:r>
          </w:p>
        </w:tc>
      </w:tr>
      <w:tr w14:paraId="2DF523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68DF7FCB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9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68A0B5C0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26恒丰银行永续债01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EABC0A4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20,171,661.10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28E7E2CD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7.72</w:t>
            </w:r>
          </w:p>
        </w:tc>
      </w:tr>
      <w:tr w14:paraId="1E3409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7533C0FA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10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0AE38943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26中铁十四PPN001B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5C05D48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20,155,658.36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71E4FD1D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7.71</w:t>
            </w:r>
          </w:p>
        </w:tc>
      </w:tr>
    </w:tbl>
    <w:p w14:paraId="35606393"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 w14:paraId="475DAB54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注：前十项资产明细仅包含证券投资、场外投资，不包含银行存款、存出保证金、清算备付金等资产。</w:t>
      </w:r>
    </w:p>
    <w:p w14:paraId="5E56DB32">
      <w:pPr>
        <w:jc w:val="left"/>
        <w:rPr>
          <w:rFonts w:asciiTheme="minorEastAsia" w:hAnsiTheme="minorEastAsia" w:eastAsiaTheme="minorEastAsia"/>
          <w:sz w:val="24"/>
          <w:szCs w:val="24"/>
        </w:rPr>
      </w:pPr>
    </w:p>
    <w:p w14:paraId="63D65A83">
      <w:pPr>
        <w:ind w:left="4" w:leftChars="2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4.4 报告期末投资非标准化债权资产情况</w:t>
      </w:r>
    </w:p>
    <w:tbl>
      <w:tblPr>
        <w:tblStyle w:val="17"/>
        <w:tblW w:w="903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992"/>
        <w:gridCol w:w="993"/>
        <w:gridCol w:w="1291"/>
        <w:gridCol w:w="1350"/>
        <w:gridCol w:w="2133"/>
        <w:gridCol w:w="1567"/>
      </w:tblGrid>
      <w:tr w14:paraId="7A6993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</w:trPr>
        <w:tc>
          <w:tcPr>
            <w:tcW w:w="704" w:type="dxa"/>
            <w:shd w:val="clear" w:color="auto" w:fill="D9D9D9"/>
            <w:vAlign w:val="center"/>
          </w:tcPr>
          <w:p w14:paraId="554BF97F">
            <w:pPr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992" w:type="dxa"/>
            <w:shd w:val="clear" w:color="auto" w:fill="D9D9D9"/>
            <w:vAlign w:val="center"/>
          </w:tcPr>
          <w:p w14:paraId="46731F75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项目名称</w:t>
            </w:r>
          </w:p>
        </w:tc>
        <w:tc>
          <w:tcPr>
            <w:tcW w:w="993" w:type="dxa"/>
            <w:shd w:val="clear" w:color="auto" w:fill="D9D9D9"/>
            <w:vAlign w:val="center"/>
          </w:tcPr>
          <w:p w14:paraId="2F6A388B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融资客户</w:t>
            </w:r>
          </w:p>
        </w:tc>
        <w:tc>
          <w:tcPr>
            <w:tcW w:w="1291" w:type="dxa"/>
            <w:shd w:val="clear" w:color="auto" w:fill="D9D9D9"/>
            <w:vAlign w:val="center"/>
          </w:tcPr>
          <w:p w14:paraId="60CA0A34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剩余融资期限（天）</w:t>
            </w:r>
          </w:p>
        </w:tc>
        <w:tc>
          <w:tcPr>
            <w:tcW w:w="1350" w:type="dxa"/>
            <w:shd w:val="clear" w:color="auto" w:fill="D9D9D9"/>
            <w:vAlign w:val="center"/>
          </w:tcPr>
          <w:p w14:paraId="097D5660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到期收益分配</w:t>
            </w:r>
          </w:p>
        </w:tc>
        <w:tc>
          <w:tcPr>
            <w:tcW w:w="2133" w:type="dxa"/>
            <w:shd w:val="clear" w:color="auto" w:fill="D9D9D9"/>
            <w:vAlign w:val="center"/>
          </w:tcPr>
          <w:p w14:paraId="2EC1FC92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交易结构</w:t>
            </w:r>
          </w:p>
        </w:tc>
        <w:tc>
          <w:tcPr>
            <w:tcW w:w="1567" w:type="dxa"/>
            <w:shd w:val="clear" w:color="auto" w:fill="D9D9D9"/>
            <w:vAlign w:val="center"/>
          </w:tcPr>
          <w:p w14:paraId="7D81FD9F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风险状况</w:t>
            </w:r>
          </w:p>
        </w:tc>
      </w:tr>
      <w:tr w14:paraId="689648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704" w:type="dxa"/>
            <w:shd w:val="clear" w:color="auto" w:fill="auto"/>
            <w:vAlign w:val="center"/>
          </w:tcPr>
          <w:p w14:paraId="1EFB18AA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64C997AD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463818B3"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 w14:paraId="6BD19AC6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vAlign w:val="center"/>
          </w:tcPr>
          <w:p w14:paraId="60E831F9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33" w:type="dxa"/>
            <w:vAlign w:val="center"/>
          </w:tcPr>
          <w:p w14:paraId="500DA812">
            <w:pPr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567" w:type="dxa"/>
            <w:vAlign w:val="center"/>
          </w:tcPr>
          <w:p w14:paraId="5353699E">
            <w:pPr>
              <w:jc w:val="left"/>
              <w:rPr>
                <w:rFonts w:ascii="宋体" w:hAnsi="宋体"/>
                <w:sz w:val="24"/>
                <w:szCs w:val="24"/>
              </w:rPr>
            </w:pPr>
          </w:p>
        </w:tc>
      </w:tr>
    </w:tbl>
    <w:p w14:paraId="2A44B116">
      <w:pPr>
        <w:ind w:left="4" w:leftChars="2"/>
        <w:jc w:val="left"/>
        <w:rPr>
          <w:rFonts w:asciiTheme="minorEastAsia" w:hAnsiTheme="minorEastAsia" w:eastAsiaTheme="minorEastAsia"/>
          <w:szCs w:val="21"/>
        </w:rPr>
      </w:pPr>
    </w:p>
    <w:p w14:paraId="505BAEAD">
      <w:pPr>
        <w:ind w:left="4" w:leftChars="2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4.5 产品份额变动</w:t>
      </w:r>
    </w:p>
    <w:p w14:paraId="678FCA8B">
      <w:pPr>
        <w:ind w:left="4" w:leftChars="2"/>
        <w:jc w:val="right"/>
        <w:rPr>
          <w:rFonts w:asciiTheme="minorEastAsia" w:hAnsiTheme="minorEastAsia" w:eastAsiaTheme="minorEastAsia"/>
          <w:szCs w:val="21"/>
        </w:rPr>
      </w:pPr>
      <w:r>
        <w:rPr>
          <w:rFonts w:hint="eastAsia" w:ascii="宋体" w:hAnsi="宋体" w:cs="宋体"/>
          <w:color w:val="000000"/>
          <w:sz w:val="24"/>
          <w:szCs w:val="24"/>
        </w:rPr>
        <w:t>单位：份</w:t>
      </w:r>
    </w:p>
    <w:tbl>
      <w:tblPr>
        <w:tblStyle w:val="17"/>
        <w:tblW w:w="89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72"/>
        <w:gridCol w:w="6008"/>
      </w:tblGrid>
      <w:tr w14:paraId="16963D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7E2AEAF9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报告期期初产品份额总额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2E0C62F3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259,270,000.00</w:t>
            </w:r>
          </w:p>
        </w:tc>
      </w:tr>
      <w:tr w14:paraId="3B5804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1275AE6D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26004A</w:t>
            </w:r>
          </w:p>
        </w:tc>
        <w:tc>
          <w:tcPr>
            <w:tcW w:w="6008" w:type="dxa"/>
            <w:shd w:val="clear" w:color="auto" w:fill="auto"/>
          </w:tcPr>
          <w:p w14:paraId="6FA3446C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50,000,000.00</w:t>
            </w:r>
          </w:p>
        </w:tc>
      </w:tr>
      <w:tr w14:paraId="232EFB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187D29B2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26004B</w:t>
            </w:r>
          </w:p>
        </w:tc>
        <w:tc>
          <w:tcPr>
            <w:tcW w:w="6008" w:type="dxa"/>
            <w:shd w:val="clear" w:color="auto" w:fill="auto"/>
          </w:tcPr>
          <w:p w14:paraId="4B35FCF5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29,470,000.00</w:t>
            </w:r>
          </w:p>
        </w:tc>
      </w:tr>
      <w:tr w14:paraId="1689EA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7305AF0D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26004C</w:t>
            </w:r>
          </w:p>
        </w:tc>
        <w:tc>
          <w:tcPr>
            <w:tcW w:w="6008" w:type="dxa"/>
            <w:shd w:val="clear" w:color="auto" w:fill="auto"/>
          </w:tcPr>
          <w:p w14:paraId="50F284DB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30,000,000.00</w:t>
            </w:r>
          </w:p>
        </w:tc>
      </w:tr>
      <w:tr w14:paraId="65A9EE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3080BEB8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26004F</w:t>
            </w:r>
          </w:p>
        </w:tc>
        <w:tc>
          <w:tcPr>
            <w:tcW w:w="6008" w:type="dxa"/>
            <w:shd w:val="clear" w:color="auto" w:fill="auto"/>
          </w:tcPr>
          <w:p w14:paraId="24A90253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89,800,000.00</w:t>
            </w:r>
          </w:p>
        </w:tc>
      </w:tr>
      <w:tr w14:paraId="0E2DB2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7507D14B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26004H</w:t>
            </w:r>
          </w:p>
        </w:tc>
        <w:tc>
          <w:tcPr>
            <w:tcW w:w="6008" w:type="dxa"/>
            <w:shd w:val="clear" w:color="auto" w:fill="auto"/>
          </w:tcPr>
          <w:p w14:paraId="2A6F98B7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10,000,000.00</w:t>
            </w:r>
          </w:p>
        </w:tc>
      </w:tr>
      <w:tr w14:paraId="081F8C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3AFAA79F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26004L</w:t>
            </w:r>
          </w:p>
        </w:tc>
        <w:tc>
          <w:tcPr>
            <w:tcW w:w="6008" w:type="dxa"/>
            <w:shd w:val="clear" w:color="auto" w:fill="auto"/>
          </w:tcPr>
          <w:p w14:paraId="43A6D543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20,000,000.00</w:t>
            </w:r>
          </w:p>
        </w:tc>
      </w:tr>
      <w:tr w14:paraId="3D702B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672FD76D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26004X</w:t>
            </w:r>
          </w:p>
        </w:tc>
        <w:tc>
          <w:tcPr>
            <w:tcW w:w="6008" w:type="dxa"/>
            <w:shd w:val="clear" w:color="auto" w:fill="auto"/>
          </w:tcPr>
          <w:p w14:paraId="5D270A8A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30,000,000.00</w:t>
            </w:r>
          </w:p>
        </w:tc>
      </w:tr>
      <w:tr w14:paraId="172191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7E5149CD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报告期期间产品总申购份额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4242C5AC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259,270,000.00</w:t>
            </w:r>
          </w:p>
        </w:tc>
      </w:tr>
      <w:tr w14:paraId="2C4901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758FBC98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报告期期间产品总赎回份额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2FDE998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38D421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3E679484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报告期期末产品份额总额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42DFA933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259,270,000.00</w:t>
            </w:r>
          </w:p>
        </w:tc>
      </w:tr>
      <w:tr w14:paraId="56066D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505DD7EB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26004A</w:t>
            </w:r>
          </w:p>
        </w:tc>
        <w:tc>
          <w:tcPr>
            <w:tcW w:w="6008" w:type="dxa"/>
            <w:shd w:val="clear" w:color="auto" w:fill="auto"/>
          </w:tcPr>
          <w:p w14:paraId="178F6510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50,000,000.00</w:t>
            </w:r>
          </w:p>
        </w:tc>
      </w:tr>
      <w:tr w14:paraId="46C8C7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633398A2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26004B</w:t>
            </w:r>
          </w:p>
        </w:tc>
        <w:tc>
          <w:tcPr>
            <w:tcW w:w="6008" w:type="dxa"/>
            <w:shd w:val="clear" w:color="auto" w:fill="auto"/>
          </w:tcPr>
          <w:p w14:paraId="206C73F3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29,470,000.00</w:t>
            </w:r>
          </w:p>
        </w:tc>
      </w:tr>
      <w:tr w14:paraId="68DAB8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56CF7203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26004C</w:t>
            </w:r>
          </w:p>
        </w:tc>
        <w:tc>
          <w:tcPr>
            <w:tcW w:w="6008" w:type="dxa"/>
            <w:shd w:val="clear" w:color="auto" w:fill="auto"/>
          </w:tcPr>
          <w:p w14:paraId="4A9580C7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30,000,000.00</w:t>
            </w:r>
          </w:p>
        </w:tc>
      </w:tr>
      <w:tr w14:paraId="47BCA0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2BCE60DC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26004F</w:t>
            </w:r>
          </w:p>
        </w:tc>
        <w:tc>
          <w:tcPr>
            <w:tcW w:w="6008" w:type="dxa"/>
            <w:shd w:val="clear" w:color="auto" w:fill="auto"/>
          </w:tcPr>
          <w:p w14:paraId="19905AD1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89,800,000.00</w:t>
            </w:r>
          </w:p>
        </w:tc>
      </w:tr>
      <w:tr w14:paraId="6B5582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3F53A487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26004H</w:t>
            </w:r>
          </w:p>
        </w:tc>
        <w:tc>
          <w:tcPr>
            <w:tcW w:w="6008" w:type="dxa"/>
            <w:shd w:val="clear" w:color="auto" w:fill="auto"/>
          </w:tcPr>
          <w:p w14:paraId="1E24CBD9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10,000,000.00</w:t>
            </w:r>
          </w:p>
        </w:tc>
      </w:tr>
      <w:tr w14:paraId="4CB594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202A94E0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26004L</w:t>
            </w:r>
          </w:p>
        </w:tc>
        <w:tc>
          <w:tcPr>
            <w:tcW w:w="6008" w:type="dxa"/>
            <w:shd w:val="clear" w:color="auto" w:fill="auto"/>
          </w:tcPr>
          <w:p w14:paraId="74734B9A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20,000,000.00</w:t>
            </w:r>
          </w:p>
        </w:tc>
      </w:tr>
      <w:tr w14:paraId="009903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755438B9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26004X</w:t>
            </w:r>
          </w:p>
        </w:tc>
        <w:tc>
          <w:tcPr>
            <w:tcW w:w="6008" w:type="dxa"/>
            <w:shd w:val="clear" w:color="auto" w:fill="auto"/>
          </w:tcPr>
          <w:p w14:paraId="7C82329D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30,000,000.00</w:t>
            </w:r>
          </w:p>
        </w:tc>
      </w:tr>
    </w:tbl>
    <w:p w14:paraId="07AF2943">
      <w:pPr>
        <w:spacing w:line="360" w:lineRule="auto"/>
        <w:rPr>
          <w:rFonts w:hint="eastAsia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4.6 投资账户信息</w:t>
      </w:r>
    </w:p>
    <w:tbl>
      <w:tblPr>
        <w:tblStyle w:val="17"/>
        <w:tblW w:w="89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0"/>
        <w:gridCol w:w="1838"/>
        <w:gridCol w:w="1734"/>
        <w:gridCol w:w="3818"/>
      </w:tblGrid>
      <w:tr w14:paraId="40F022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590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3DD08C83">
            <w:pPr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账户类型</w:t>
            </w:r>
          </w:p>
        </w:tc>
        <w:tc>
          <w:tcPr>
            <w:tcW w:w="1838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 w14:paraId="25641EE1">
            <w:pP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账户名称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 w14:paraId="0108A855">
            <w:pPr>
              <w:jc w:val="both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账号</w:t>
            </w:r>
          </w:p>
        </w:tc>
        <w:tc>
          <w:tcPr>
            <w:tcW w:w="3818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 w14:paraId="7E88D541">
            <w:pPr>
              <w:jc w:val="both"/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开户行</w:t>
            </w:r>
          </w:p>
        </w:tc>
      </w:tr>
      <w:tr w14:paraId="226BC0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590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0828AFEC">
            <w:pP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托管账户</w:t>
            </w:r>
          </w:p>
        </w:tc>
        <w:tc>
          <w:tcPr>
            <w:tcW w:w="1838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179901B9">
            <w:pP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中国工商银行股份有限公司山东省分行资产托管专户-齐鲁鸿运财富2026年4号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1D6B9B24">
            <w:pP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1602023929200372619</w:t>
            </w:r>
          </w:p>
        </w:tc>
        <w:tc>
          <w:tcPr>
            <w:tcW w:w="3818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3C7453F7">
            <w:pP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 xml:space="preserve"> 工商银行济南趵突泉支行</w:t>
            </w:r>
          </w:p>
        </w:tc>
      </w:tr>
    </w:tbl>
    <w:p w14:paraId="16E0A0EA">
      <w:pPr>
        <w:spacing w:line="360" w:lineRule="auto"/>
        <w:rPr>
          <w:rFonts w:hint="default" w:ascii="宋体" w:hAnsi="宋体" w:cs="宋体"/>
          <w:color w:val="000000"/>
          <w:sz w:val="24"/>
          <w:szCs w:val="24"/>
          <w:lang w:val="en-US" w:eastAsia="zh-CN"/>
        </w:rPr>
      </w:pPr>
    </w:p>
    <w:p w14:paraId="1AD1214A">
      <w:pPr>
        <w:spacing w:line="360" w:lineRule="auto"/>
        <w:rPr>
          <w:rFonts w:ascii="宋体" w:hAnsi="宋体" w:cs="宋体"/>
          <w:color w:val="000000"/>
          <w:sz w:val="24"/>
          <w:szCs w:val="24"/>
        </w:rPr>
      </w:pPr>
    </w:p>
    <w:p w14:paraId="27BB0C7C"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5  托管人报告</w:t>
      </w:r>
    </w:p>
    <w:p w14:paraId="0034F3B9">
      <w:pPr>
        <w:spacing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托管人声明：本报告期内，资产托管人严格遵守有关法律法规、托管协议关于托管人职责的约定，尽职尽责地履行了托管职责并安全保管托管资产。</w:t>
      </w:r>
    </w:p>
    <w:p w14:paraId="483939CE">
      <w:pPr>
        <w:spacing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在管理人提供的各项数据和信息真实、准确、有效的前提下，在托管人能够知悉和掌握的情况范围内，托管人对管理人报告中的财务数据进行了复核，未发现存在虚假记载、误导性陈述或者重大遗漏的情形。</w:t>
      </w:r>
    </w:p>
    <w:p w14:paraId="45D0CB04">
      <w:pPr>
        <w:spacing w:line="360" w:lineRule="auto"/>
        <w:ind w:firstLine="42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  <w:lang w:bidi="ar"/>
        </w:rPr>
        <w:t>特此公告。</w:t>
      </w:r>
    </w:p>
    <w:p w14:paraId="6337D586">
      <w:pPr>
        <w:spacing w:line="360" w:lineRule="auto"/>
        <w:ind w:firstLine="420"/>
        <w:rPr>
          <w:rFonts w:eastAsia="Times New Roman"/>
        </w:rPr>
      </w:pPr>
      <w:r>
        <w:rPr>
          <w:rFonts w:ascii="Calibri" w:hAnsi="Calibri" w:eastAsia="Calibri" w:cs="Calibri"/>
          <w:szCs w:val="21"/>
        </w:rPr>
        <w:t> </w:t>
      </w:r>
    </w:p>
    <w:p w14:paraId="45B3E9CE"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齐鲁银行股份有限公司</w:t>
      </w:r>
    </w:p>
    <w:p w14:paraId="0D08781E">
      <w:pPr>
        <w:ind w:firstLine="400"/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2026-08-29</w:t>
      </w:r>
    </w:p>
    <w:p w14:paraId="353A2DD9">
      <w:pPr>
        <w:jc w:val="righ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               </w:t>
      </w:r>
    </w:p>
    <w:sectPr>
      <w:footerReference r:id="rId3" w:type="default"/>
      <w:footerReference r:id="rId4" w:type="even"/>
      <w:pgSz w:w="11906" w:h="16838"/>
      <w:pgMar w:top="1440" w:right="1531" w:bottom="1134" w:left="1531" w:header="851" w:footer="992" w:gutter="0"/>
      <w:pgNumType w:start="1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7B52C7">
    <w:pPr>
      <w:pStyle w:val="10"/>
      <w:framePr w:wrap="around" w:vAnchor="text" w:hAnchor="margin" w:xAlign="right" w:y="1"/>
      <w:rPr>
        <w:rStyle w:val="20"/>
      </w:rPr>
    </w:pPr>
    <w:r>
      <w:rPr>
        <w:rStyle w:val="20"/>
        <w:rFonts w:hint="eastAsia"/>
      </w:rPr>
      <w:t xml:space="preserve"> </w:t>
    </w:r>
  </w:p>
  <w:p w14:paraId="2DA1E5A7">
    <w:pPr>
      <w:pStyle w:val="10"/>
      <w:ind w:right="10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502A88">
    <w:pPr>
      <w:pStyle w:val="10"/>
      <w:framePr w:wrap="around" w:vAnchor="text" w:hAnchor="margin" w:xAlign="right" w:y="1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end"/>
    </w:r>
  </w:p>
  <w:p w14:paraId="3D837597">
    <w:pPr>
      <w:pStyle w:val="10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7D73EE"/>
    <w:multiLevelType w:val="multilevel"/>
    <w:tmpl w:val="547D73EE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 w:tentative="0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 w:tentative="0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 w:tentative="0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 w:tentative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305A"/>
    <w:rsid w:val="00035197"/>
    <w:rsid w:val="00036749"/>
    <w:rsid w:val="00036CDC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A8"/>
    <w:rsid w:val="000825DB"/>
    <w:rsid w:val="00083139"/>
    <w:rsid w:val="00084444"/>
    <w:rsid w:val="000954BC"/>
    <w:rsid w:val="000957D7"/>
    <w:rsid w:val="00096252"/>
    <w:rsid w:val="000A0247"/>
    <w:rsid w:val="000A1C35"/>
    <w:rsid w:val="000B049B"/>
    <w:rsid w:val="000B12F7"/>
    <w:rsid w:val="000B65EC"/>
    <w:rsid w:val="000C01AC"/>
    <w:rsid w:val="000C0357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6D1"/>
    <w:rsid w:val="000E7EE4"/>
    <w:rsid w:val="000F1CA3"/>
    <w:rsid w:val="000F1EB8"/>
    <w:rsid w:val="000F79B4"/>
    <w:rsid w:val="00123DCF"/>
    <w:rsid w:val="001241D2"/>
    <w:rsid w:val="00127EE5"/>
    <w:rsid w:val="00130058"/>
    <w:rsid w:val="001304CE"/>
    <w:rsid w:val="00130B97"/>
    <w:rsid w:val="001318F5"/>
    <w:rsid w:val="00131F63"/>
    <w:rsid w:val="001321D3"/>
    <w:rsid w:val="001367E6"/>
    <w:rsid w:val="0013763A"/>
    <w:rsid w:val="00137F13"/>
    <w:rsid w:val="00140432"/>
    <w:rsid w:val="00142BF7"/>
    <w:rsid w:val="001431D2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76115"/>
    <w:rsid w:val="0019201F"/>
    <w:rsid w:val="00193F23"/>
    <w:rsid w:val="00196688"/>
    <w:rsid w:val="001A6A60"/>
    <w:rsid w:val="001A6DCE"/>
    <w:rsid w:val="001B0D81"/>
    <w:rsid w:val="001B2258"/>
    <w:rsid w:val="001B3575"/>
    <w:rsid w:val="001B43F0"/>
    <w:rsid w:val="001B6489"/>
    <w:rsid w:val="001C4ACD"/>
    <w:rsid w:val="001C5999"/>
    <w:rsid w:val="001D364E"/>
    <w:rsid w:val="001D61DA"/>
    <w:rsid w:val="001E1A37"/>
    <w:rsid w:val="001E27AF"/>
    <w:rsid w:val="001E2A08"/>
    <w:rsid w:val="001E4B7A"/>
    <w:rsid w:val="001E5E17"/>
    <w:rsid w:val="001E7354"/>
    <w:rsid w:val="001E7E3E"/>
    <w:rsid w:val="001F28F0"/>
    <w:rsid w:val="001F4ADC"/>
    <w:rsid w:val="001F5BAE"/>
    <w:rsid w:val="001F7D68"/>
    <w:rsid w:val="00203B47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6FB5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80418"/>
    <w:rsid w:val="00285198"/>
    <w:rsid w:val="0028673C"/>
    <w:rsid w:val="00291837"/>
    <w:rsid w:val="00293CED"/>
    <w:rsid w:val="002A1060"/>
    <w:rsid w:val="002A6967"/>
    <w:rsid w:val="002B18D0"/>
    <w:rsid w:val="002B1BF7"/>
    <w:rsid w:val="002B2425"/>
    <w:rsid w:val="002B5C75"/>
    <w:rsid w:val="002B6AB0"/>
    <w:rsid w:val="002B6D92"/>
    <w:rsid w:val="002C0D52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70E3"/>
    <w:rsid w:val="003217E4"/>
    <w:rsid w:val="003245FC"/>
    <w:rsid w:val="003350C8"/>
    <w:rsid w:val="00336953"/>
    <w:rsid w:val="0034174F"/>
    <w:rsid w:val="00347E59"/>
    <w:rsid w:val="0035009E"/>
    <w:rsid w:val="00351099"/>
    <w:rsid w:val="00352648"/>
    <w:rsid w:val="00352670"/>
    <w:rsid w:val="00353071"/>
    <w:rsid w:val="0035379B"/>
    <w:rsid w:val="003545C4"/>
    <w:rsid w:val="00354AB0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5970"/>
    <w:rsid w:val="00386B5A"/>
    <w:rsid w:val="00391B1F"/>
    <w:rsid w:val="00392524"/>
    <w:rsid w:val="0039364C"/>
    <w:rsid w:val="00393CB1"/>
    <w:rsid w:val="003942F4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0264C"/>
    <w:rsid w:val="0041580B"/>
    <w:rsid w:val="00415C27"/>
    <w:rsid w:val="00415F33"/>
    <w:rsid w:val="004169FD"/>
    <w:rsid w:val="00420876"/>
    <w:rsid w:val="0042283D"/>
    <w:rsid w:val="00422CED"/>
    <w:rsid w:val="004332EF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31F4"/>
    <w:rsid w:val="00524996"/>
    <w:rsid w:val="00524F71"/>
    <w:rsid w:val="00527A49"/>
    <w:rsid w:val="005310A6"/>
    <w:rsid w:val="0053595B"/>
    <w:rsid w:val="00537901"/>
    <w:rsid w:val="00540DE6"/>
    <w:rsid w:val="00542A91"/>
    <w:rsid w:val="0054387B"/>
    <w:rsid w:val="005465B6"/>
    <w:rsid w:val="00554065"/>
    <w:rsid w:val="00555D8D"/>
    <w:rsid w:val="00556DA2"/>
    <w:rsid w:val="00560EAF"/>
    <w:rsid w:val="00572059"/>
    <w:rsid w:val="00573E83"/>
    <w:rsid w:val="00575762"/>
    <w:rsid w:val="005775FA"/>
    <w:rsid w:val="00583550"/>
    <w:rsid w:val="00591622"/>
    <w:rsid w:val="005947ED"/>
    <w:rsid w:val="00596277"/>
    <w:rsid w:val="00596803"/>
    <w:rsid w:val="005A6657"/>
    <w:rsid w:val="005B0572"/>
    <w:rsid w:val="005B19E8"/>
    <w:rsid w:val="005B6C71"/>
    <w:rsid w:val="005B7EF7"/>
    <w:rsid w:val="005C208D"/>
    <w:rsid w:val="005C6300"/>
    <w:rsid w:val="005D0C97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27DC0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5902"/>
    <w:rsid w:val="006664D5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7DB7"/>
    <w:rsid w:val="006A2BA8"/>
    <w:rsid w:val="006A307A"/>
    <w:rsid w:val="006B0B91"/>
    <w:rsid w:val="006B24E7"/>
    <w:rsid w:val="006B554E"/>
    <w:rsid w:val="006B5B87"/>
    <w:rsid w:val="006B77BE"/>
    <w:rsid w:val="006C21A8"/>
    <w:rsid w:val="006C49D3"/>
    <w:rsid w:val="006C71D5"/>
    <w:rsid w:val="006C742E"/>
    <w:rsid w:val="006D4D97"/>
    <w:rsid w:val="006D78DE"/>
    <w:rsid w:val="006E2B12"/>
    <w:rsid w:val="006E3BE7"/>
    <w:rsid w:val="006E5986"/>
    <w:rsid w:val="006E5F79"/>
    <w:rsid w:val="006E6073"/>
    <w:rsid w:val="006E72DC"/>
    <w:rsid w:val="006E7D51"/>
    <w:rsid w:val="006F01F5"/>
    <w:rsid w:val="006F05AC"/>
    <w:rsid w:val="006F1E99"/>
    <w:rsid w:val="006F26FB"/>
    <w:rsid w:val="006F2A9A"/>
    <w:rsid w:val="006F33DF"/>
    <w:rsid w:val="006F3BCC"/>
    <w:rsid w:val="00710F9C"/>
    <w:rsid w:val="00711860"/>
    <w:rsid w:val="00714D1B"/>
    <w:rsid w:val="00717029"/>
    <w:rsid w:val="00720312"/>
    <w:rsid w:val="0072202C"/>
    <w:rsid w:val="0072288E"/>
    <w:rsid w:val="00727121"/>
    <w:rsid w:val="00730BF8"/>
    <w:rsid w:val="007313AE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2F4A"/>
    <w:rsid w:val="007633CA"/>
    <w:rsid w:val="007663F0"/>
    <w:rsid w:val="00773DEB"/>
    <w:rsid w:val="00774DB3"/>
    <w:rsid w:val="00777511"/>
    <w:rsid w:val="00782BD3"/>
    <w:rsid w:val="00783A2D"/>
    <w:rsid w:val="0078701B"/>
    <w:rsid w:val="0079003D"/>
    <w:rsid w:val="00790F54"/>
    <w:rsid w:val="0079349C"/>
    <w:rsid w:val="007957D3"/>
    <w:rsid w:val="007A41FE"/>
    <w:rsid w:val="007A4FF1"/>
    <w:rsid w:val="007A5C4C"/>
    <w:rsid w:val="007A6008"/>
    <w:rsid w:val="007A66E8"/>
    <w:rsid w:val="007A67A8"/>
    <w:rsid w:val="007A6D6E"/>
    <w:rsid w:val="007B3FDF"/>
    <w:rsid w:val="007C00B5"/>
    <w:rsid w:val="007C271F"/>
    <w:rsid w:val="007D4695"/>
    <w:rsid w:val="007D5F69"/>
    <w:rsid w:val="007D7D2D"/>
    <w:rsid w:val="007E22BB"/>
    <w:rsid w:val="007E24A8"/>
    <w:rsid w:val="007E6BBB"/>
    <w:rsid w:val="007F261A"/>
    <w:rsid w:val="007F4389"/>
    <w:rsid w:val="0080135F"/>
    <w:rsid w:val="00802F9D"/>
    <w:rsid w:val="00805841"/>
    <w:rsid w:val="008067E9"/>
    <w:rsid w:val="008138C2"/>
    <w:rsid w:val="008207FC"/>
    <w:rsid w:val="00824A1A"/>
    <w:rsid w:val="0082723D"/>
    <w:rsid w:val="00830FB1"/>
    <w:rsid w:val="008318D4"/>
    <w:rsid w:val="00835C56"/>
    <w:rsid w:val="00835F60"/>
    <w:rsid w:val="0083628C"/>
    <w:rsid w:val="00840509"/>
    <w:rsid w:val="00840E2A"/>
    <w:rsid w:val="00841B85"/>
    <w:rsid w:val="0084484A"/>
    <w:rsid w:val="00845EAD"/>
    <w:rsid w:val="008466A5"/>
    <w:rsid w:val="008509BD"/>
    <w:rsid w:val="008518FE"/>
    <w:rsid w:val="008631C4"/>
    <w:rsid w:val="00863246"/>
    <w:rsid w:val="008647E2"/>
    <w:rsid w:val="00865A3B"/>
    <w:rsid w:val="00867C1C"/>
    <w:rsid w:val="0087458E"/>
    <w:rsid w:val="00874F4C"/>
    <w:rsid w:val="00877005"/>
    <w:rsid w:val="0088112D"/>
    <w:rsid w:val="008816D8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0656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200D9"/>
    <w:rsid w:val="00924290"/>
    <w:rsid w:val="0093136C"/>
    <w:rsid w:val="00932C76"/>
    <w:rsid w:val="00932DEA"/>
    <w:rsid w:val="009361E0"/>
    <w:rsid w:val="00940851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2AB"/>
    <w:rsid w:val="0097695A"/>
    <w:rsid w:val="00982515"/>
    <w:rsid w:val="00985C6F"/>
    <w:rsid w:val="00987DA5"/>
    <w:rsid w:val="00996119"/>
    <w:rsid w:val="009A10CD"/>
    <w:rsid w:val="009A7588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F30"/>
    <w:rsid w:val="009E7949"/>
    <w:rsid w:val="009F1173"/>
    <w:rsid w:val="009F2CE7"/>
    <w:rsid w:val="009F6300"/>
    <w:rsid w:val="00A02D2A"/>
    <w:rsid w:val="00A03DAA"/>
    <w:rsid w:val="00A053A7"/>
    <w:rsid w:val="00A07072"/>
    <w:rsid w:val="00A1398C"/>
    <w:rsid w:val="00A16209"/>
    <w:rsid w:val="00A179D8"/>
    <w:rsid w:val="00A17F78"/>
    <w:rsid w:val="00A217B1"/>
    <w:rsid w:val="00A226D6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3CCB"/>
    <w:rsid w:val="00A754BF"/>
    <w:rsid w:val="00A80900"/>
    <w:rsid w:val="00A9256F"/>
    <w:rsid w:val="00A94073"/>
    <w:rsid w:val="00A95724"/>
    <w:rsid w:val="00A97609"/>
    <w:rsid w:val="00AA0964"/>
    <w:rsid w:val="00AA0D73"/>
    <w:rsid w:val="00AB0553"/>
    <w:rsid w:val="00AB7F1E"/>
    <w:rsid w:val="00AC0253"/>
    <w:rsid w:val="00AC760B"/>
    <w:rsid w:val="00AD0E90"/>
    <w:rsid w:val="00AD267E"/>
    <w:rsid w:val="00AD5950"/>
    <w:rsid w:val="00AE7B09"/>
    <w:rsid w:val="00AF4B02"/>
    <w:rsid w:val="00AF5C38"/>
    <w:rsid w:val="00AF6371"/>
    <w:rsid w:val="00B01D6A"/>
    <w:rsid w:val="00B0308C"/>
    <w:rsid w:val="00B10E20"/>
    <w:rsid w:val="00B13755"/>
    <w:rsid w:val="00B14EDA"/>
    <w:rsid w:val="00B15B26"/>
    <w:rsid w:val="00B15EA7"/>
    <w:rsid w:val="00B218BF"/>
    <w:rsid w:val="00B273A3"/>
    <w:rsid w:val="00B27FD9"/>
    <w:rsid w:val="00B30A58"/>
    <w:rsid w:val="00B33E1B"/>
    <w:rsid w:val="00B343B8"/>
    <w:rsid w:val="00B347A3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84C"/>
    <w:rsid w:val="00B73D60"/>
    <w:rsid w:val="00B7675B"/>
    <w:rsid w:val="00B80918"/>
    <w:rsid w:val="00B81709"/>
    <w:rsid w:val="00B82529"/>
    <w:rsid w:val="00B82FD4"/>
    <w:rsid w:val="00B91227"/>
    <w:rsid w:val="00B9280A"/>
    <w:rsid w:val="00B94D4D"/>
    <w:rsid w:val="00B9576A"/>
    <w:rsid w:val="00B959E0"/>
    <w:rsid w:val="00B9605D"/>
    <w:rsid w:val="00B96F7F"/>
    <w:rsid w:val="00BA2FE9"/>
    <w:rsid w:val="00BB2C8E"/>
    <w:rsid w:val="00BB3836"/>
    <w:rsid w:val="00BC6F6D"/>
    <w:rsid w:val="00BC79AA"/>
    <w:rsid w:val="00BC7BE2"/>
    <w:rsid w:val="00BD01DA"/>
    <w:rsid w:val="00BD1DC0"/>
    <w:rsid w:val="00BE1D4B"/>
    <w:rsid w:val="00BE2BF0"/>
    <w:rsid w:val="00BE491C"/>
    <w:rsid w:val="00BE4F1C"/>
    <w:rsid w:val="00BE6F0A"/>
    <w:rsid w:val="00BE7278"/>
    <w:rsid w:val="00BF0CCC"/>
    <w:rsid w:val="00BF2E9E"/>
    <w:rsid w:val="00BF5021"/>
    <w:rsid w:val="00BF625D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32521"/>
    <w:rsid w:val="00C41372"/>
    <w:rsid w:val="00C41F00"/>
    <w:rsid w:val="00C41FD7"/>
    <w:rsid w:val="00C4406A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B77A5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271"/>
    <w:rsid w:val="00D06468"/>
    <w:rsid w:val="00D1017D"/>
    <w:rsid w:val="00D11282"/>
    <w:rsid w:val="00D11D55"/>
    <w:rsid w:val="00D14569"/>
    <w:rsid w:val="00D15AFB"/>
    <w:rsid w:val="00D15B0F"/>
    <w:rsid w:val="00D25096"/>
    <w:rsid w:val="00D2614B"/>
    <w:rsid w:val="00D3035E"/>
    <w:rsid w:val="00D30B4B"/>
    <w:rsid w:val="00D31FD3"/>
    <w:rsid w:val="00D3496C"/>
    <w:rsid w:val="00D35F7B"/>
    <w:rsid w:val="00D3643E"/>
    <w:rsid w:val="00D40841"/>
    <w:rsid w:val="00D411DB"/>
    <w:rsid w:val="00D452EA"/>
    <w:rsid w:val="00D54504"/>
    <w:rsid w:val="00D57ABE"/>
    <w:rsid w:val="00D60D0A"/>
    <w:rsid w:val="00D63034"/>
    <w:rsid w:val="00D664DF"/>
    <w:rsid w:val="00D679E8"/>
    <w:rsid w:val="00D72C48"/>
    <w:rsid w:val="00D7572D"/>
    <w:rsid w:val="00D76EC7"/>
    <w:rsid w:val="00D806F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BCD"/>
    <w:rsid w:val="00DC63EA"/>
    <w:rsid w:val="00DC7755"/>
    <w:rsid w:val="00DD0776"/>
    <w:rsid w:val="00DD2D10"/>
    <w:rsid w:val="00DD493A"/>
    <w:rsid w:val="00DE0BA7"/>
    <w:rsid w:val="00DF1B60"/>
    <w:rsid w:val="00DF64FE"/>
    <w:rsid w:val="00DF70DD"/>
    <w:rsid w:val="00E05CBD"/>
    <w:rsid w:val="00E133C1"/>
    <w:rsid w:val="00E13A22"/>
    <w:rsid w:val="00E16C03"/>
    <w:rsid w:val="00E22023"/>
    <w:rsid w:val="00E24F6C"/>
    <w:rsid w:val="00E25FBD"/>
    <w:rsid w:val="00E27C54"/>
    <w:rsid w:val="00E33DFC"/>
    <w:rsid w:val="00E36DC0"/>
    <w:rsid w:val="00E40C11"/>
    <w:rsid w:val="00E504F9"/>
    <w:rsid w:val="00E5307C"/>
    <w:rsid w:val="00E5314E"/>
    <w:rsid w:val="00E538A2"/>
    <w:rsid w:val="00E65FF2"/>
    <w:rsid w:val="00E67113"/>
    <w:rsid w:val="00E67390"/>
    <w:rsid w:val="00E732A5"/>
    <w:rsid w:val="00E757CD"/>
    <w:rsid w:val="00E76293"/>
    <w:rsid w:val="00E773EF"/>
    <w:rsid w:val="00E841D0"/>
    <w:rsid w:val="00E84CB6"/>
    <w:rsid w:val="00E8759A"/>
    <w:rsid w:val="00E915A7"/>
    <w:rsid w:val="00E9363B"/>
    <w:rsid w:val="00E966EE"/>
    <w:rsid w:val="00EA0D8E"/>
    <w:rsid w:val="00EA4ECB"/>
    <w:rsid w:val="00EA78F0"/>
    <w:rsid w:val="00EB0365"/>
    <w:rsid w:val="00EB1D83"/>
    <w:rsid w:val="00EB210F"/>
    <w:rsid w:val="00EB213D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3701"/>
    <w:rsid w:val="00F34D29"/>
    <w:rsid w:val="00F35C2C"/>
    <w:rsid w:val="00F36C13"/>
    <w:rsid w:val="00F43944"/>
    <w:rsid w:val="00F44F0C"/>
    <w:rsid w:val="00F45974"/>
    <w:rsid w:val="00F45EFD"/>
    <w:rsid w:val="00F51B8A"/>
    <w:rsid w:val="00F52438"/>
    <w:rsid w:val="00F53A4B"/>
    <w:rsid w:val="00F64D16"/>
    <w:rsid w:val="00F65B50"/>
    <w:rsid w:val="00F66D00"/>
    <w:rsid w:val="00F67B3D"/>
    <w:rsid w:val="00F733D2"/>
    <w:rsid w:val="00F87CF1"/>
    <w:rsid w:val="00F906DF"/>
    <w:rsid w:val="00F926DD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A6C"/>
    <w:rsid w:val="00FB1C77"/>
    <w:rsid w:val="00FB3F6A"/>
    <w:rsid w:val="00FD2905"/>
    <w:rsid w:val="00FE1CEA"/>
    <w:rsid w:val="00FE3C8E"/>
    <w:rsid w:val="00FE3E86"/>
    <w:rsid w:val="00FE4490"/>
    <w:rsid w:val="00FE51F2"/>
    <w:rsid w:val="00FE52AD"/>
    <w:rsid w:val="00FE5547"/>
    <w:rsid w:val="00FF15E9"/>
    <w:rsid w:val="00FF6973"/>
    <w:rsid w:val="1AB917F8"/>
    <w:rsid w:val="1B7772E4"/>
    <w:rsid w:val="2A0F0CCD"/>
    <w:rsid w:val="3F6778EF"/>
    <w:rsid w:val="46A87316"/>
    <w:rsid w:val="4746708A"/>
    <w:rsid w:val="541F3E53"/>
    <w:rsid w:val="59CF39D5"/>
    <w:rsid w:val="5E927177"/>
    <w:rsid w:val="612B3FEE"/>
    <w:rsid w:val="63FA7DBC"/>
    <w:rsid w:val="6ACC0B2B"/>
    <w:rsid w:val="78A05E31"/>
    <w:rsid w:val="7E456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35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/>
    </w:rPr>
  </w:style>
  <w:style w:type="paragraph" w:styleId="5">
    <w:name w:val="heading 4"/>
    <w:basedOn w:val="1"/>
    <w:next w:val="1"/>
    <w:link w:val="33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qFormat/>
    <w:uiPriority w:val="0"/>
    <w:pPr>
      <w:shd w:val="clear" w:color="auto" w:fill="000080"/>
    </w:p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Date"/>
    <w:basedOn w:val="1"/>
    <w:next w:val="1"/>
    <w:link w:val="48"/>
    <w:qFormat/>
    <w:uiPriority w:val="0"/>
    <w:rPr>
      <w:rFonts w:ascii="宋体"/>
      <w:sz w:val="32"/>
      <w:lang w:val="zh-CN"/>
    </w:rPr>
  </w:style>
  <w:style w:type="paragraph" w:styleId="9">
    <w:name w:val="Balloon Text"/>
    <w:basedOn w:val="1"/>
    <w:qFormat/>
    <w:uiPriority w:val="0"/>
    <w:rPr>
      <w:sz w:val="18"/>
      <w:szCs w:val="18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qFormat/>
    <w:uiPriority w:val="0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qFormat/>
    <w:uiPriority w:val="0"/>
    <w:pPr>
      <w:snapToGrid w:val="0"/>
      <w:jc w:val="left"/>
    </w:pPr>
    <w:rPr>
      <w:sz w:val="18"/>
      <w:szCs w:val="18"/>
      <w:lang w:val="zh-CN"/>
    </w:rPr>
  </w:style>
  <w:style w:type="paragraph" w:styleId="1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qFormat/>
    <w:uiPriority w:val="10"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qFormat/>
    <w:uiPriority w:val="0"/>
    <w:rPr>
      <w:b/>
      <w:bCs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qFormat/>
    <w:uiPriority w:val="0"/>
  </w:style>
  <w:style w:type="character" w:styleId="21">
    <w:name w:val="annotation reference"/>
    <w:qFormat/>
    <w:uiPriority w:val="0"/>
    <w:rPr>
      <w:sz w:val="21"/>
      <w:szCs w:val="21"/>
    </w:rPr>
  </w:style>
  <w:style w:type="character" w:styleId="22">
    <w:name w:val="footnote reference"/>
    <w:qFormat/>
    <w:uiPriority w:val="0"/>
    <w:rPr>
      <w:vertAlign w:val="superscript"/>
    </w:rPr>
  </w:style>
  <w:style w:type="character" w:customStyle="1" w:styleId="23">
    <w:name w:val="标题 3 字符"/>
    <w:link w:val="4"/>
    <w:qFormat/>
    <w:uiPriority w:val="9"/>
    <w:rPr>
      <w:b/>
      <w:bCs/>
      <w:sz w:val="32"/>
      <w:szCs w:val="32"/>
    </w:rPr>
  </w:style>
  <w:style w:type="character" w:customStyle="1" w:styleId="24">
    <w:name w:val="CODE"/>
    <w:qFormat/>
    <w:uiPriority w:val="0"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字符"/>
    <w:link w:val="12"/>
    <w:qFormat/>
    <w:uiPriority w:val="0"/>
    <w:rPr>
      <w:rFonts w:ascii="Cambria" w:hAnsi="Cambria" w:eastAsia="宋体" w:cs="Times New Roman"/>
      <w:b/>
      <w:kern w:val="28"/>
      <w:sz w:val="24"/>
      <w:szCs w:val="32"/>
    </w:rPr>
  </w:style>
  <w:style w:type="character" w:customStyle="1" w:styleId="26">
    <w:name w:val="标题 1 字符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7">
    <w:name w:val="标题 2 字符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8">
    <w:name w:val="标题 字符"/>
    <w:link w:val="15"/>
    <w:qFormat/>
    <w:uiPriority w:val="10"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qFormat/>
    <w:uiPriority w:val="0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qFormat/>
    <w:uiPriority w:val="0"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qFormat/>
    <w:uiPriority w:val="0"/>
  </w:style>
  <w:style w:type="character" w:customStyle="1" w:styleId="33">
    <w:name w:val="标题 4 字符"/>
    <w:link w:val="5"/>
    <w:semiHidden/>
    <w:qFormat/>
    <w:uiPriority w:val="0"/>
    <w:rPr>
      <w:rFonts w:ascii="Cambria" w:hAnsi="Cambria" w:eastAsia="宋体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qFormat/>
    <w:uiPriority w:val="0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qFormat/>
    <w:uiPriority w:val="0"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qFormat/>
    <w:uiPriority w:val="0"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qFormat/>
    <w:uiPriority w:val="0"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qFormat/>
    <w:uiPriority w:val="0"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qFormat/>
    <w:uiPriority w:val="0"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qFormat/>
    <w:uiPriority w:val="0"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qFormat/>
    <w:uiPriority w:val="0"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字符"/>
    <w:link w:val="13"/>
    <w:qFormat/>
    <w:uiPriority w:val="0"/>
    <w:rPr>
      <w:kern w:val="2"/>
      <w:sz w:val="18"/>
      <w:szCs w:val="18"/>
    </w:rPr>
  </w:style>
  <w:style w:type="character" w:customStyle="1" w:styleId="48">
    <w:name w:val="日期 字符"/>
    <w:link w:val="8"/>
    <w:qFormat/>
    <w:uiPriority w:val="0"/>
    <w:rPr>
      <w:rFonts w:ascii="宋体"/>
      <w:kern w:val="2"/>
      <w:sz w:val="32"/>
    </w:rPr>
  </w:style>
  <w:style w:type="paragraph" w:styleId="49">
    <w:name w:val="List Paragraph"/>
    <w:basedOn w:val="1"/>
    <w:qFormat/>
    <w:uiPriority w:val="34"/>
    <w:pPr>
      <w:ind w:firstLine="420" w:firstLineChars="200"/>
    </w:pPr>
  </w:style>
  <w:style w:type="paragraph" w:customStyle="1" w:styleId="50">
    <w:name w:val="Char1"/>
    <w:basedOn w:val="1"/>
    <w:qFormat/>
    <w:uiPriority w:val="0"/>
  </w:style>
  <w:style w:type="paragraph" w:customStyle="1" w:styleId="51">
    <w:name w:val="MsoNormal"/>
    <w:basedOn w:val="1"/>
    <w:qFormat/>
    <w:uiPriority w:val="0"/>
    <w:pPr>
      <w:widowControl/>
      <w:jc w:val="left"/>
    </w:pPr>
    <w:rPr>
      <w:kern w:val="0"/>
      <w:sz w:val="24"/>
      <w:szCs w:val="24"/>
    </w:rPr>
  </w:style>
  <w:style w:type="paragraph" w:customStyle="1" w:styleId="52">
    <w:name w:val="p"/>
    <w:basedOn w:val="1"/>
    <w:qFormat/>
    <w:uiPriority w:val="0"/>
    <w:pPr>
      <w:widowControl/>
      <w:jc w:val="left"/>
    </w:pPr>
    <w:rPr>
      <w:kern w:val="0"/>
      <w:sz w:val="24"/>
      <w:szCs w:val="24"/>
    </w:rPr>
  </w:style>
  <w:style w:type="character" w:customStyle="1" w:styleId="53">
    <w:name w:val="font11"/>
    <w:basedOn w:val="19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54">
    <w:name w:val="font21"/>
    <w:basedOn w:val="19"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6A3438-05E5-4974-986F-B8135B59055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7</Pages>
  <Words>393</Words>
  <Characters>2242</Characters>
  <Lines>18</Lines>
  <Paragraphs>5</Paragraphs>
  <TotalTime>0</TotalTime>
  <ScaleCrop>false</ScaleCrop>
  <LinksUpToDate>false</LinksUpToDate>
  <CharactersWithSpaces>2630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2020-01-07T12:08:00Z</dcterms:created>
  <dc:creator>yss</dc:creator>
  <cp:lastModifiedBy>董鲁豫</cp:lastModifiedBy>
  <cp:lastPrinted>2411-12-31T15:59:00Z</cp:lastPrinted>
  <dcterms:modified xsi:type="dcterms:W3CDTF">2026-07-24T07:26:23Z</dcterms:modified>
  <dc:title>gongGaoMingCheng</dc:title>
  <cp:revision>192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74128E040AC64E1FACE515C7E3649458</vt:lpwstr>
  </property>
</Properties>
</file>