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188F4D5">
      <w:pPr>
        <w:rPr>
          <w:sz w:val="48"/>
        </w:rPr>
      </w:pPr>
    </w:p>
    <w:p w14:paraId="276C9C33">
      <w:pPr>
        <w:rPr>
          <w:sz w:val="48"/>
        </w:rPr>
      </w:pPr>
    </w:p>
    <w:p w14:paraId="70C5ED66">
      <w:pPr>
        <w:jc w:val="center"/>
        <w:rPr>
          <w:rFonts w:ascii="宋体" w:hAnsi="宋体"/>
          <w:b/>
          <w:bCs/>
          <w:sz w:val="48"/>
          <w:szCs w:val="30"/>
        </w:rPr>
      </w:pPr>
      <w:r>
        <w:rPr>
          <w:rFonts w:ascii="宋体" w:hAnsi="宋体"/>
          <w:b/>
          <w:bCs/>
          <w:sz w:val="48"/>
          <w:szCs w:val="30"/>
        </w:rPr>
        <w:t xml:space="preserve">财复盈35天2号 </w:t>
      </w:r>
    </w:p>
    <w:p w14:paraId="0737FC85">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1C019557">
      <w:pPr>
        <w:jc w:val="center"/>
        <w:rPr>
          <w:rFonts w:ascii="宋体" w:hAnsi="宋体"/>
          <w:b/>
          <w:bCs/>
          <w:sz w:val="28"/>
          <w:szCs w:val="30"/>
        </w:rPr>
      </w:pPr>
    </w:p>
    <w:p w14:paraId="69F3A007">
      <w:pPr>
        <w:jc w:val="center"/>
        <w:rPr>
          <w:rFonts w:ascii="宋体" w:hAnsi="宋体"/>
          <w:sz w:val="28"/>
          <w:szCs w:val="30"/>
        </w:rPr>
      </w:pPr>
    </w:p>
    <w:p w14:paraId="4BF66472">
      <w:pPr>
        <w:jc w:val="center"/>
        <w:rPr>
          <w:rFonts w:ascii="宋体" w:hAnsi="宋体"/>
          <w:sz w:val="28"/>
          <w:szCs w:val="30"/>
        </w:rPr>
      </w:pPr>
    </w:p>
    <w:p w14:paraId="5FD141EB">
      <w:pPr>
        <w:jc w:val="center"/>
        <w:rPr>
          <w:rFonts w:ascii="宋体" w:hAnsi="宋体"/>
          <w:sz w:val="28"/>
          <w:szCs w:val="30"/>
        </w:rPr>
      </w:pPr>
    </w:p>
    <w:p w14:paraId="574B35B2">
      <w:pPr>
        <w:jc w:val="center"/>
        <w:rPr>
          <w:rFonts w:ascii="宋体" w:hAnsi="宋体"/>
          <w:sz w:val="28"/>
          <w:szCs w:val="30"/>
        </w:rPr>
      </w:pPr>
    </w:p>
    <w:p w14:paraId="6B1A9230">
      <w:pPr>
        <w:jc w:val="center"/>
        <w:rPr>
          <w:rFonts w:ascii="宋体" w:hAnsi="宋体"/>
          <w:sz w:val="28"/>
          <w:szCs w:val="30"/>
        </w:rPr>
      </w:pPr>
    </w:p>
    <w:p w14:paraId="41A7529B">
      <w:pPr>
        <w:jc w:val="center"/>
        <w:rPr>
          <w:rFonts w:ascii="宋体" w:hAnsi="宋体"/>
          <w:sz w:val="28"/>
          <w:szCs w:val="30"/>
        </w:rPr>
      </w:pPr>
    </w:p>
    <w:p w14:paraId="339306F7">
      <w:pPr>
        <w:jc w:val="center"/>
        <w:rPr>
          <w:rFonts w:ascii="宋体" w:hAnsi="宋体"/>
          <w:sz w:val="28"/>
          <w:szCs w:val="30"/>
        </w:rPr>
      </w:pPr>
    </w:p>
    <w:p w14:paraId="05A3A573">
      <w:pPr>
        <w:jc w:val="center"/>
        <w:rPr>
          <w:rFonts w:ascii="宋体" w:hAnsi="宋体"/>
          <w:sz w:val="28"/>
          <w:szCs w:val="30"/>
        </w:rPr>
      </w:pPr>
    </w:p>
    <w:p w14:paraId="1A81EA51">
      <w:pPr>
        <w:jc w:val="center"/>
        <w:rPr>
          <w:rFonts w:ascii="宋体" w:hAnsi="宋体"/>
          <w:sz w:val="28"/>
          <w:szCs w:val="30"/>
        </w:rPr>
      </w:pPr>
    </w:p>
    <w:p w14:paraId="0E351F1B">
      <w:pPr>
        <w:jc w:val="center"/>
        <w:rPr>
          <w:rFonts w:ascii="宋体" w:hAnsi="宋体"/>
          <w:sz w:val="28"/>
          <w:szCs w:val="30"/>
        </w:rPr>
      </w:pPr>
    </w:p>
    <w:p w14:paraId="667CC2D0">
      <w:pPr>
        <w:jc w:val="center"/>
        <w:rPr>
          <w:rFonts w:ascii="宋体" w:hAnsi="宋体"/>
          <w:sz w:val="28"/>
          <w:szCs w:val="30"/>
        </w:rPr>
      </w:pPr>
    </w:p>
    <w:p w14:paraId="3B71CB86">
      <w:pPr>
        <w:ind w:firstLine="1687" w:firstLineChars="600"/>
        <w:jc w:val="left"/>
        <w:rPr>
          <w:rFonts w:ascii="宋体" w:hAnsi="宋体"/>
          <w:b/>
          <w:bCs/>
          <w:sz w:val="28"/>
          <w:szCs w:val="30"/>
        </w:rPr>
      </w:pPr>
      <w:r>
        <w:rPr>
          <w:rFonts w:ascii="宋体" w:hAnsi="宋体"/>
          <w:b/>
          <w:bCs/>
          <w:sz w:val="28"/>
          <w:szCs w:val="30"/>
        </w:rPr>
        <w:t>产品管理人：齐鲁银行股份有限公司</w:t>
      </w:r>
    </w:p>
    <w:p w14:paraId="14FD6874">
      <w:pPr>
        <w:ind w:firstLine="1687" w:firstLineChars="600"/>
        <w:jc w:val="left"/>
        <w:rPr>
          <w:rFonts w:ascii="宋体" w:hAnsi="宋体"/>
          <w:b/>
          <w:bCs/>
          <w:sz w:val="28"/>
          <w:szCs w:val="30"/>
        </w:rPr>
      </w:pPr>
      <w:r>
        <w:rPr>
          <w:rFonts w:ascii="宋体" w:hAnsi="宋体"/>
          <w:b/>
          <w:bCs/>
          <w:sz w:val="28"/>
          <w:szCs w:val="30"/>
        </w:rPr>
        <w:t>产品托管人：招商银行股份有限公司</w:t>
      </w:r>
    </w:p>
    <w:p w14:paraId="3A695919">
      <w:pPr>
        <w:ind w:firstLine="1680" w:firstLineChars="600"/>
        <w:jc w:val="left"/>
        <w:rPr>
          <w:rFonts w:ascii="宋体" w:hAnsi="宋体"/>
          <w:sz w:val="28"/>
          <w:szCs w:val="30"/>
        </w:rPr>
      </w:pPr>
    </w:p>
    <w:p w14:paraId="239D2305">
      <w:pPr>
        <w:ind w:firstLine="1680" w:firstLineChars="600"/>
        <w:jc w:val="left"/>
        <w:rPr>
          <w:rFonts w:ascii="宋体" w:hAnsi="宋体"/>
          <w:sz w:val="28"/>
          <w:szCs w:val="30"/>
        </w:rPr>
      </w:pPr>
    </w:p>
    <w:p w14:paraId="52C625E4">
      <w:pPr>
        <w:ind w:firstLine="1680" w:firstLineChars="600"/>
        <w:jc w:val="left"/>
        <w:rPr>
          <w:rFonts w:ascii="宋体" w:hAnsi="宋体"/>
          <w:sz w:val="28"/>
          <w:szCs w:val="30"/>
        </w:rPr>
      </w:pPr>
    </w:p>
    <w:p w14:paraId="645EAF11">
      <w:pPr>
        <w:rPr>
          <w:rFonts w:ascii="宋体" w:hAnsi="宋体"/>
          <w:sz w:val="28"/>
          <w:szCs w:val="30"/>
        </w:rPr>
      </w:pPr>
    </w:p>
    <w:p w14:paraId="12EA9CBF">
      <w:pPr>
        <w:jc w:val="center"/>
        <w:rPr>
          <w:rFonts w:ascii="宋体" w:hAnsi="宋体"/>
          <w:b/>
          <w:bCs/>
          <w:sz w:val="28"/>
          <w:szCs w:val="30"/>
        </w:rPr>
      </w:pPr>
    </w:p>
    <w:p w14:paraId="38E80489">
      <w:pPr>
        <w:jc w:val="center"/>
        <w:rPr>
          <w:rFonts w:ascii="宋体" w:hAnsi="宋体"/>
          <w:bCs/>
          <w:sz w:val="33"/>
          <w:szCs w:val="33"/>
        </w:rPr>
      </w:pPr>
      <w:r>
        <w:rPr>
          <w:rFonts w:hint="eastAsia" w:ascii="宋体" w:hAnsi="宋体"/>
          <w:bCs/>
          <w:sz w:val="33"/>
          <w:szCs w:val="33"/>
        </w:rPr>
        <w:t>1</w:t>
      </w:r>
      <w:r>
        <w:rPr>
          <w:rFonts w:ascii="宋体" w:hAnsi="宋体"/>
          <w:bCs/>
          <w:sz w:val="33"/>
          <w:szCs w:val="33"/>
        </w:rPr>
        <w:t xml:space="preserve"> </w:t>
      </w:r>
      <w:r>
        <w:rPr>
          <w:rFonts w:hint="eastAsia" w:ascii="宋体" w:hAnsi="宋体"/>
          <w:bCs/>
          <w:sz w:val="33"/>
          <w:szCs w:val="33"/>
        </w:rPr>
        <w:t>重要提示</w:t>
      </w:r>
    </w:p>
    <w:p w14:paraId="3FA68E01">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产品管理人的董事会及董事保证本报告所载资料不存在虚假记载、误导性陈述或重大遗漏，并对其内容的真实性、准确性和完整性承担个别及连带责任。</w:t>
      </w:r>
    </w:p>
    <w:p w14:paraId="04DE0F2C">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产品管理人承诺以诚实信用、勤勉尽责的原则管理和运用产品资产，但不保证产品一定盈利。　</w:t>
      </w:r>
    </w:p>
    <w:p w14:paraId="483AA416">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产品的过往业绩并不代表其未来表现。投资有风险，投资者在作出投资决策前应仔细阅读本产品的产品说明书。</w:t>
      </w:r>
    </w:p>
    <w:p w14:paraId="4625DD50">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本报告中财务资料未经审计。</w:t>
      </w:r>
    </w:p>
    <w:p w14:paraId="1B6E1AC7">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本</w:t>
      </w:r>
      <w:r>
        <w:rPr>
          <w:rFonts w:ascii="宋体" w:hAnsi="宋体" w:cs="宋体"/>
          <w:color w:val="000000"/>
          <w:sz w:val="24"/>
          <w:szCs w:val="24"/>
        </w:rPr>
        <w:t>报告期</w:t>
      </w:r>
      <w:r>
        <w:rPr>
          <w:rFonts w:hint="eastAsia" w:ascii="宋体" w:hAnsi="宋体" w:cs="宋体"/>
          <w:color w:val="000000"/>
          <w:sz w:val="24"/>
          <w:szCs w:val="24"/>
        </w:rPr>
        <w:t>自 2026-01-01</w:t>
      </w:r>
      <w:r>
        <w:rPr>
          <w:rFonts w:ascii="宋体" w:hAnsi="宋体" w:cs="宋体"/>
          <w:color w:val="000000"/>
          <w:sz w:val="24"/>
          <w:szCs w:val="24"/>
        </w:rPr>
        <w:t xml:space="preserve"> </w:t>
      </w:r>
      <w:r>
        <w:rPr>
          <w:rFonts w:hint="eastAsia" w:ascii="宋体" w:hAnsi="宋体" w:cs="宋体"/>
          <w:color w:val="000000"/>
          <w:sz w:val="24"/>
          <w:szCs w:val="24"/>
        </w:rPr>
        <w:t>起至 2026-06-30</w:t>
      </w:r>
      <w:r>
        <w:rPr>
          <w:rFonts w:ascii="宋体" w:hAnsi="宋体" w:cs="宋体"/>
          <w:color w:val="000000"/>
          <w:sz w:val="24"/>
          <w:szCs w:val="24"/>
        </w:rPr>
        <w:t xml:space="preserve"> 止。</w:t>
      </w:r>
    </w:p>
    <w:p w14:paraId="68281368">
      <w:pPr>
        <w:jc w:val="center"/>
        <w:rPr>
          <w:rFonts w:ascii="宋体" w:hAnsi="宋体"/>
          <w:bCs/>
          <w:sz w:val="33"/>
          <w:szCs w:val="33"/>
        </w:rPr>
      </w:pPr>
      <w:r>
        <w:rPr>
          <w:rFonts w:hint="eastAsia" w:ascii="宋体" w:hAnsi="宋体"/>
          <w:bCs/>
          <w:sz w:val="33"/>
          <w:szCs w:val="33"/>
        </w:rPr>
        <w:t>2</w:t>
      </w:r>
      <w:r>
        <w:rPr>
          <w:rFonts w:ascii="宋体" w:hAnsi="宋体"/>
          <w:bCs/>
          <w:sz w:val="33"/>
          <w:szCs w:val="33"/>
        </w:rPr>
        <w:t xml:space="preserve"> </w:t>
      </w:r>
      <w:r>
        <w:rPr>
          <w:rFonts w:hint="eastAsia" w:ascii="宋体" w:hAnsi="宋体"/>
          <w:bCs/>
          <w:sz w:val="33"/>
          <w:szCs w:val="33"/>
        </w:rPr>
        <w:t xml:space="preserve">产品概况 </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3034D843">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5D12A360">
            <w:pPr>
              <w:rPr>
                <w:rFonts w:eastAsia="Times New Roman"/>
                <w:color w:val="000000"/>
                <w:sz w:val="24"/>
                <w:szCs w:val="24"/>
              </w:rPr>
            </w:pPr>
            <w:r>
              <w:rPr>
                <w:rFonts w:hint="eastAsia" w:ascii="宋体" w:hAnsi="宋体" w:cs="宋体"/>
                <w:color w:val="000000"/>
                <w:sz w:val="24"/>
                <w:szCs w:val="24"/>
              </w:rPr>
              <w:t>2.1 产品基本情况</w:t>
            </w:r>
          </w:p>
        </w:tc>
      </w:tr>
    </w:tbl>
    <w:p w14:paraId="4D60C1C9">
      <w:pPr>
        <w:rPr>
          <w:vanish/>
          <w:sz w:val="24"/>
          <w:szCs w:val="24"/>
        </w:rPr>
      </w:pPr>
    </w:p>
    <w:tbl>
      <w:tblPr>
        <w:tblStyle w:val="17"/>
        <w:tblW w:w="8980" w:type="dxa"/>
        <w:jc w:val="center"/>
        <w:tblLayout w:type="fixed"/>
        <w:tblCellMar>
          <w:top w:w="0" w:type="dxa"/>
          <w:left w:w="108" w:type="dxa"/>
          <w:bottom w:w="0" w:type="dxa"/>
          <w:right w:w="108" w:type="dxa"/>
        </w:tblCellMar>
      </w:tblPr>
      <w:tblGrid>
        <w:gridCol w:w="4497"/>
        <w:gridCol w:w="4483"/>
      </w:tblGrid>
      <w:tr w14:paraId="2D653400">
        <w:tblPrEx>
          <w:tblCellMar>
            <w:top w:w="0" w:type="dxa"/>
            <w:left w:w="108" w:type="dxa"/>
            <w:bottom w:w="0" w:type="dxa"/>
            <w:right w:w="108" w:type="dxa"/>
          </w:tblCellMar>
        </w:tblPrEx>
        <w:trPr>
          <w:trHeight w:val="300" w:hRule="atLeast"/>
          <w:jc w:val="center"/>
        </w:trPr>
        <w:tc>
          <w:tcPr>
            <w:tcW w:w="4497"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tcPr>
          <w:p w14:paraId="3A07055D">
            <w:pPr>
              <w:pStyle w:val="51"/>
              <w:spacing w:line="320" w:lineRule="atLeast"/>
              <w:rPr>
                <w:rFonts w:ascii="宋体" w:hAnsi="宋体" w:cs="宋体"/>
                <w:color w:val="000000"/>
                <w:kern w:val="2"/>
              </w:rPr>
            </w:pPr>
            <w:r>
              <w:rPr>
                <w:rFonts w:hint="eastAsia" w:ascii="宋体" w:hAnsi="宋体" w:cs="宋体"/>
                <w:color w:val="000000"/>
                <w:kern w:val="2"/>
              </w:rPr>
              <w:t>产品中文商业全称</w:t>
            </w:r>
          </w:p>
        </w:tc>
        <w:tc>
          <w:tcPr>
            <w:tcW w:w="4483" w:type="dxa"/>
            <w:tcBorders>
              <w:top w:val="single" w:color="000000" w:sz="8" w:space="0"/>
              <w:left w:val="nil"/>
              <w:bottom w:val="single" w:color="000000" w:sz="8" w:space="0"/>
              <w:right w:val="single" w:color="000000" w:sz="8" w:space="0"/>
            </w:tcBorders>
            <w:tcMar>
              <w:top w:w="10" w:type="dxa"/>
              <w:left w:w="108" w:type="dxa"/>
              <w:bottom w:w="10" w:type="dxa"/>
              <w:right w:w="118" w:type="dxa"/>
            </w:tcMar>
          </w:tcPr>
          <w:p w14:paraId="26F099D9">
            <w:pPr>
              <w:pStyle w:val="51"/>
              <w:rPr>
                <w:rFonts w:ascii="宋体" w:hAnsi="宋体" w:cs="宋体"/>
                <w:color w:val="000000"/>
                <w:kern w:val="2"/>
              </w:rPr>
            </w:pPr>
            <w:r>
              <w:rPr>
                <w:rFonts w:hint="eastAsia" w:ascii="宋体" w:hAnsi="宋体" w:cs="宋体"/>
                <w:color w:val="000000"/>
                <w:kern w:val="2"/>
              </w:rPr>
              <w:t>财复盈35天2号</w:t>
            </w:r>
          </w:p>
        </w:tc>
      </w:tr>
      <w:tr w14:paraId="0F4D7665">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344E629">
            <w:pPr>
              <w:pStyle w:val="51"/>
              <w:spacing w:line="320" w:lineRule="atLeast"/>
              <w:rPr>
                <w:rFonts w:ascii="宋体" w:hAnsi="宋体" w:cs="宋体"/>
                <w:color w:val="000000"/>
                <w:kern w:val="2"/>
              </w:rPr>
            </w:pPr>
            <w:r>
              <w:rPr>
                <w:rFonts w:hint="eastAsia" w:ascii="宋体" w:hAnsi="宋体" w:cs="宋体"/>
                <w:color w:val="000000"/>
                <w:kern w:val="2"/>
              </w:rPr>
              <w:t>产品登记编码</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16BD728">
            <w:pPr>
              <w:pStyle w:val="51"/>
              <w:rPr>
                <w:rFonts w:ascii="宋体" w:hAnsi="宋体" w:cs="宋体"/>
                <w:color w:val="000000"/>
                <w:kern w:val="2"/>
              </w:rPr>
            </w:pPr>
            <w:r>
              <w:rPr>
                <w:rFonts w:hint="eastAsia" w:ascii="宋体" w:hAnsi="宋体" w:cs="宋体"/>
                <w:color w:val="000000"/>
                <w:kern w:val="2"/>
              </w:rPr>
              <w:t xml:space="preserve">C1088122000039 </w:t>
            </w:r>
          </w:p>
        </w:tc>
      </w:tr>
      <w:tr w14:paraId="28A98EFC">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0192FD4">
            <w:pPr>
              <w:pStyle w:val="51"/>
              <w:spacing w:line="320" w:lineRule="atLeast"/>
              <w:rPr>
                <w:rFonts w:ascii="宋体" w:hAnsi="宋体" w:cs="宋体"/>
                <w:color w:val="000000"/>
                <w:kern w:val="2"/>
              </w:rPr>
            </w:pPr>
            <w:r>
              <w:rPr>
                <w:rFonts w:hint="eastAsia" w:ascii="宋体" w:hAnsi="宋体" w:cs="宋体"/>
                <w:color w:val="000000"/>
                <w:kern w:val="2"/>
              </w:rPr>
              <w:t>产品成立/起始日</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645F30C7">
            <w:pPr>
              <w:pStyle w:val="51"/>
              <w:rPr>
                <w:rFonts w:ascii="宋体" w:hAnsi="宋体" w:cs="宋体"/>
                <w:color w:val="000000"/>
                <w:kern w:val="2"/>
              </w:rPr>
            </w:pPr>
            <w:r>
              <w:rPr>
                <w:rFonts w:hint="eastAsia" w:ascii="宋体" w:hAnsi="宋体" w:cs="宋体"/>
                <w:color w:val="000000"/>
                <w:kern w:val="2"/>
              </w:rPr>
              <w:t xml:space="preserve">2022-07-13 </w:t>
            </w:r>
          </w:p>
        </w:tc>
      </w:tr>
      <w:tr w14:paraId="1D7B65EB">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CC9D4AB">
            <w:pPr>
              <w:pStyle w:val="51"/>
              <w:spacing w:line="320" w:lineRule="atLeast"/>
              <w:rPr>
                <w:rFonts w:ascii="宋体" w:hAnsi="宋体" w:cs="宋体"/>
                <w:color w:val="000000"/>
                <w:kern w:val="2"/>
              </w:rPr>
            </w:pPr>
            <w:r>
              <w:rPr>
                <w:rFonts w:hint="eastAsia" w:ascii="宋体" w:hAnsi="宋体" w:cs="宋体"/>
                <w:color w:val="000000"/>
                <w:kern w:val="2"/>
              </w:rPr>
              <w:t>报告期末产品份额总额（份）</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CB7FCAD">
            <w:pPr>
              <w:pStyle w:val="51"/>
              <w:rPr>
                <w:rFonts w:ascii="宋体" w:hAnsi="宋体" w:cs="宋体"/>
                <w:color w:val="000000"/>
                <w:kern w:val="2"/>
              </w:rPr>
            </w:pPr>
            <w:r>
              <w:rPr>
                <w:rFonts w:hint="eastAsia" w:ascii="宋体" w:hAnsi="宋体" w:cs="宋体"/>
                <w:color w:val="000000"/>
                <w:kern w:val="2"/>
              </w:rPr>
              <w:t xml:space="preserve">348,824,288.98 </w:t>
            </w:r>
          </w:p>
        </w:tc>
      </w:tr>
      <w:tr w14:paraId="4F772CA6">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00C12D55">
            <w:pPr>
              <w:pStyle w:val="51"/>
              <w:spacing w:line="320" w:lineRule="atLeast"/>
              <w:rPr>
                <w:rFonts w:ascii="宋体" w:hAnsi="宋体" w:cs="宋体"/>
                <w:color w:val="000000"/>
                <w:kern w:val="2"/>
              </w:rPr>
            </w:pPr>
            <w:r>
              <w:rPr>
                <w:rFonts w:hint="eastAsia" w:ascii="宋体" w:hAnsi="宋体" w:cs="宋体"/>
                <w:color w:val="000000"/>
                <w:kern w:val="2"/>
              </w:rPr>
              <w:t>业绩比较基准（%）</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30062B46">
            <w:pPr>
              <w:pStyle w:val="51"/>
              <w:rPr>
                <w:rFonts w:ascii="宋体" w:hAnsi="宋体" w:cs="宋体"/>
                <w:color w:val="000000"/>
                <w:kern w:val="2"/>
              </w:rPr>
            </w:pPr>
          </w:p>
        </w:tc>
      </w:tr>
      <w:tr w14:paraId="035ED844">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25F256A3">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22352B</w:t>
            </w:r>
          </w:p>
        </w:tc>
        <w:tc>
          <w:tcPr>
            <w:tcW w:w="4483" w:type="dxa"/>
            <w:tcBorders>
              <w:top w:val="nil"/>
              <w:left w:val="nil"/>
              <w:bottom w:val="single" w:color="000000" w:sz="8" w:space="0"/>
              <w:right w:val="single" w:color="000000" w:sz="8" w:space="0"/>
            </w:tcBorders>
            <w:shd w:val="clear" w:color="auto" w:fill="auto"/>
          </w:tcPr>
          <w:p w14:paraId="6192B012">
            <w:pPr>
              <w:pStyle w:val="51"/>
              <w:ind w:hanging="1"/>
              <w:jc w:val="left"/>
              <w:rPr>
                <w:rFonts w:ascii="宋体" w:hAnsi="宋体" w:cs="宋体"/>
                <w:color w:val="000000"/>
                <w:kern w:val="2"/>
              </w:rPr>
            </w:pPr>
            <w:r>
              <w:rPr>
                <w:rFonts w:hint="eastAsia" w:ascii="宋体" w:hAnsi="宋体" w:cs="宋体"/>
                <w:b w:val="0"/>
                <w:i w:val="0"/>
                <w:strike w:val="0"/>
                <w:color w:val="000000"/>
                <w:u w:val="none"/>
              </w:rPr>
              <w:t>[1.7-2.3]/年</w:t>
            </w:r>
          </w:p>
        </w:tc>
      </w:tr>
      <w:tr w14:paraId="7236FA25">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091E1E2E">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22352A</w:t>
            </w:r>
          </w:p>
        </w:tc>
        <w:tc>
          <w:tcPr>
            <w:tcW w:w="4483" w:type="dxa"/>
            <w:tcBorders>
              <w:top w:val="nil"/>
              <w:left w:val="nil"/>
              <w:bottom w:val="single" w:color="000000" w:sz="8" w:space="0"/>
              <w:right w:val="single" w:color="000000" w:sz="8" w:space="0"/>
            </w:tcBorders>
            <w:shd w:val="clear" w:color="auto" w:fill="auto"/>
          </w:tcPr>
          <w:p w14:paraId="645B906A">
            <w:pPr>
              <w:pStyle w:val="51"/>
              <w:ind w:hanging="1"/>
              <w:jc w:val="left"/>
              <w:rPr>
                <w:rFonts w:ascii="宋体" w:hAnsi="宋体" w:cs="宋体"/>
                <w:color w:val="000000"/>
                <w:kern w:val="2"/>
              </w:rPr>
            </w:pPr>
            <w:r>
              <w:rPr>
                <w:rFonts w:hint="eastAsia" w:ascii="宋体" w:hAnsi="宋体" w:cs="宋体"/>
                <w:b w:val="0"/>
                <w:i w:val="0"/>
                <w:strike w:val="0"/>
                <w:color w:val="000000"/>
                <w:u w:val="none"/>
              </w:rPr>
              <w:t>[1.6-2.2]/年</w:t>
            </w:r>
          </w:p>
        </w:tc>
      </w:tr>
      <w:tr w14:paraId="0D18F015">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323AD5C3">
            <w:pPr>
              <w:pStyle w:val="51"/>
              <w:spacing w:line="320" w:lineRule="atLeast"/>
              <w:rPr>
                <w:rFonts w:ascii="宋体" w:hAnsi="宋体" w:cs="宋体"/>
                <w:color w:val="000000"/>
                <w:kern w:val="2"/>
              </w:rPr>
            </w:pPr>
            <w:r>
              <w:rPr>
                <w:rFonts w:hint="eastAsia" w:ascii="宋体" w:hAnsi="宋体" w:cs="宋体"/>
                <w:color w:val="000000"/>
                <w:kern w:val="2"/>
              </w:rPr>
              <w:t>杠杆水平（%）</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CF89440">
            <w:pPr>
              <w:pStyle w:val="51"/>
              <w:rPr>
                <w:rFonts w:ascii="宋体" w:hAnsi="宋体" w:cs="宋体"/>
                <w:color w:val="000000"/>
                <w:kern w:val="2"/>
              </w:rPr>
            </w:pPr>
            <w:r>
              <w:rPr>
                <w:rFonts w:ascii="宋体" w:hAnsi="宋体" w:cs="宋体"/>
                <w:color w:val="000000"/>
                <w:kern w:val="2"/>
              </w:rPr>
              <w:t>102.68</w:t>
            </w:r>
          </w:p>
        </w:tc>
      </w:tr>
      <w:tr w14:paraId="62A9790C">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4F6FEB59">
            <w:pPr>
              <w:pStyle w:val="51"/>
              <w:spacing w:line="320" w:lineRule="atLeast"/>
              <w:rPr>
                <w:rFonts w:ascii="宋体" w:hAnsi="宋体" w:cs="宋体"/>
                <w:color w:val="000000"/>
                <w:kern w:val="2"/>
              </w:rPr>
            </w:pPr>
            <w:r>
              <w:rPr>
                <w:rFonts w:hint="eastAsia" w:ascii="宋体" w:hAnsi="宋体" w:cs="宋体"/>
                <w:color w:val="000000"/>
                <w:kern w:val="2"/>
              </w:rPr>
              <w:t>销售手续费率（%）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0E88373C">
            <w:pPr>
              <w:pStyle w:val="51"/>
              <w:rPr>
                <w:rFonts w:ascii="宋体" w:hAnsi="宋体" w:cs="宋体"/>
                <w:color w:val="000000"/>
                <w:kern w:val="2"/>
              </w:rPr>
            </w:pPr>
          </w:p>
        </w:tc>
      </w:tr>
      <w:tr w14:paraId="216333C2">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620D0C82">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22352C</w:t>
            </w:r>
          </w:p>
        </w:tc>
        <w:tc>
          <w:tcPr>
            <w:tcW w:w="4483" w:type="dxa"/>
            <w:tcBorders>
              <w:top w:val="nil"/>
              <w:left w:val="nil"/>
              <w:bottom w:val="single" w:color="000000" w:sz="8" w:space="0"/>
              <w:right w:val="single" w:color="000000" w:sz="8" w:space="0"/>
            </w:tcBorders>
            <w:shd w:val="clear" w:color="auto" w:fill="auto"/>
          </w:tcPr>
          <w:p w14:paraId="01A9C096">
            <w:pPr>
              <w:pStyle w:val="51"/>
              <w:ind w:hanging="1"/>
              <w:jc w:val="left"/>
              <w:rPr>
                <w:rFonts w:ascii="宋体" w:hAnsi="宋体" w:cs="宋体"/>
                <w:color w:val="000000"/>
                <w:kern w:val="2"/>
              </w:rPr>
            </w:pPr>
          </w:p>
        </w:tc>
      </w:tr>
      <w:tr w14:paraId="18291A52">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2B62F9C8">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22352A</w:t>
            </w:r>
          </w:p>
        </w:tc>
        <w:tc>
          <w:tcPr>
            <w:tcW w:w="4483" w:type="dxa"/>
            <w:tcBorders>
              <w:top w:val="nil"/>
              <w:left w:val="nil"/>
              <w:bottom w:val="single" w:color="000000" w:sz="8" w:space="0"/>
              <w:right w:val="single" w:color="000000" w:sz="8" w:space="0"/>
            </w:tcBorders>
            <w:shd w:val="clear" w:color="auto" w:fill="auto"/>
          </w:tcPr>
          <w:p w14:paraId="0738A27A">
            <w:pPr>
              <w:pStyle w:val="51"/>
              <w:ind w:hanging="1"/>
              <w:jc w:val="left"/>
              <w:rPr>
                <w:rFonts w:ascii="宋体" w:hAnsi="宋体" w:cs="宋体"/>
                <w:color w:val="000000"/>
                <w:kern w:val="2"/>
              </w:rPr>
            </w:pPr>
            <w:r>
              <w:rPr>
                <w:rFonts w:hint="eastAsia" w:ascii="宋体" w:hAnsi="宋体" w:cs="宋体"/>
                <w:b w:val="0"/>
                <w:i w:val="0"/>
                <w:strike w:val="0"/>
                <w:color w:val="000000"/>
                <w:u w:val="none"/>
              </w:rPr>
              <w:t>0.3</w:t>
            </w:r>
          </w:p>
        </w:tc>
      </w:tr>
      <w:tr w14:paraId="57B81DE3">
        <w:tblPrEx>
          <w:tblCellMar>
            <w:top w:w="0" w:type="dxa"/>
            <w:left w:w="108" w:type="dxa"/>
            <w:bottom w:w="0" w:type="dxa"/>
            <w:right w:w="108" w:type="dxa"/>
          </w:tblCellMar>
        </w:tblPrEx>
        <w:trPr>
          <w:trHeight w:val="90" w:hRule="atLeast"/>
          <w:jc w:val="center"/>
        </w:trPr>
        <w:tc>
          <w:tcPr>
            <w:tcW w:w="4497" w:type="dxa"/>
            <w:tcBorders>
              <w:top w:val="nil"/>
              <w:left w:val="single" w:color="000000" w:sz="8" w:space="0"/>
              <w:bottom w:val="single" w:color="000000" w:sz="8" w:space="0"/>
              <w:right w:val="single" w:color="000000" w:sz="8" w:space="0"/>
            </w:tcBorders>
            <w:shd w:val="clear" w:color="auto" w:fill="auto"/>
          </w:tcPr>
          <w:p w14:paraId="1D082611">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22352B</w:t>
            </w:r>
          </w:p>
        </w:tc>
        <w:tc>
          <w:tcPr>
            <w:tcW w:w="4483" w:type="dxa"/>
            <w:tcBorders>
              <w:top w:val="nil"/>
              <w:left w:val="nil"/>
              <w:bottom w:val="single" w:color="000000" w:sz="8" w:space="0"/>
              <w:right w:val="single" w:color="000000" w:sz="8" w:space="0"/>
            </w:tcBorders>
            <w:shd w:val="clear" w:color="auto" w:fill="auto"/>
          </w:tcPr>
          <w:p w14:paraId="6F088DB9">
            <w:pPr>
              <w:pStyle w:val="51"/>
              <w:ind w:hanging="1"/>
              <w:jc w:val="left"/>
              <w:rPr>
                <w:rFonts w:ascii="宋体" w:hAnsi="宋体" w:cs="宋体"/>
                <w:color w:val="000000"/>
                <w:kern w:val="2"/>
              </w:rPr>
            </w:pPr>
            <w:r>
              <w:rPr>
                <w:rFonts w:hint="eastAsia" w:ascii="宋体" w:hAnsi="宋体" w:cs="宋体"/>
                <w:b w:val="0"/>
                <w:i w:val="0"/>
                <w:strike w:val="0"/>
                <w:color w:val="000000"/>
                <w:u w:val="none"/>
              </w:rPr>
              <w:t>0.2</w:t>
            </w:r>
          </w:p>
        </w:tc>
      </w:tr>
      <w:tr w14:paraId="278ABE68">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6C2E186">
            <w:pPr>
              <w:pStyle w:val="51"/>
              <w:spacing w:line="320" w:lineRule="atLeast"/>
              <w:rPr>
                <w:rFonts w:ascii="宋体" w:hAnsi="宋体" w:cs="宋体"/>
                <w:color w:val="000000"/>
                <w:kern w:val="2"/>
              </w:rPr>
            </w:pPr>
            <w:r>
              <w:rPr>
                <w:rFonts w:hint="eastAsia" w:ascii="宋体" w:hAnsi="宋体" w:cs="宋体"/>
                <w:color w:val="000000"/>
                <w:kern w:val="2"/>
              </w:rPr>
              <w:t>托管费率（%）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2926280D">
            <w:pPr>
              <w:pStyle w:val="51"/>
              <w:rPr>
                <w:rFonts w:ascii="宋体" w:hAnsi="宋体" w:cs="宋体"/>
                <w:color w:val="000000"/>
                <w:kern w:val="2"/>
              </w:rPr>
            </w:pPr>
            <w:r>
              <w:rPr>
                <w:rFonts w:hint="eastAsia" w:ascii="宋体" w:hAnsi="宋体" w:cs="宋体"/>
                <w:color w:val="000000"/>
                <w:kern w:val="2"/>
              </w:rPr>
              <w:t>0.005</w:t>
            </w:r>
          </w:p>
        </w:tc>
      </w:tr>
      <w:tr w14:paraId="51A044A1">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56C00C7A">
            <w:pPr>
              <w:pStyle w:val="51"/>
              <w:spacing w:line="320" w:lineRule="atLeast"/>
              <w:rPr>
                <w:rFonts w:ascii="宋体" w:hAnsi="宋体" w:cs="宋体"/>
                <w:color w:val="000000"/>
                <w:kern w:val="2"/>
              </w:rPr>
            </w:pPr>
            <w:r>
              <w:rPr>
                <w:rFonts w:hint="eastAsia" w:ascii="宋体" w:hAnsi="宋体" w:cs="宋体"/>
                <w:color w:val="000000"/>
                <w:kern w:val="2"/>
              </w:rPr>
              <w:t>固定管理费率（%）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05EBB9A">
            <w:pPr>
              <w:pStyle w:val="51"/>
              <w:rPr>
                <w:rFonts w:ascii="宋体" w:hAnsi="宋体" w:cs="宋体"/>
                <w:color w:val="000000"/>
                <w:kern w:val="2"/>
              </w:rPr>
            </w:pPr>
            <w:r>
              <w:rPr>
                <w:rFonts w:hint="eastAsia" w:ascii="宋体" w:hAnsi="宋体" w:cs="宋体"/>
                <w:color w:val="000000"/>
                <w:kern w:val="2"/>
              </w:rPr>
              <w:t>0.2</w:t>
            </w:r>
          </w:p>
        </w:tc>
      </w:tr>
      <w:tr w14:paraId="5067D20D">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6E8B4795">
            <w:pPr>
              <w:pStyle w:val="51"/>
              <w:spacing w:line="320" w:lineRule="atLeast"/>
              <w:rPr>
                <w:rFonts w:ascii="宋体" w:hAnsi="宋体" w:cs="宋体"/>
                <w:color w:val="000000"/>
                <w:kern w:val="2"/>
              </w:rPr>
            </w:pPr>
            <w:r>
              <w:rPr>
                <w:rFonts w:hint="eastAsia" w:ascii="宋体" w:hAnsi="宋体" w:cs="宋体"/>
                <w:color w:val="000000"/>
                <w:kern w:val="2"/>
              </w:rPr>
              <w:t>其他费率（%）</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5E61040D">
            <w:pPr>
              <w:pStyle w:val="51"/>
              <w:rPr>
                <w:rFonts w:ascii="宋体" w:hAnsi="宋体" w:cs="宋体"/>
                <w:color w:val="000000"/>
                <w:kern w:val="2"/>
              </w:rPr>
            </w:pPr>
          </w:p>
        </w:tc>
      </w:tr>
      <w:tr w14:paraId="31834B90">
        <w:tblPrEx>
          <w:tblCellMar>
            <w:top w:w="0" w:type="dxa"/>
            <w:left w:w="108" w:type="dxa"/>
            <w:bottom w:w="0" w:type="dxa"/>
            <w:right w:w="108" w:type="dxa"/>
          </w:tblCellMar>
        </w:tblPrEx>
        <w:trPr>
          <w:trHeight w:val="270" w:hRule="atLeast"/>
          <w:jc w:val="center"/>
        </w:trPr>
        <w:tc>
          <w:tcPr>
            <w:tcW w:w="4497" w:type="dxa"/>
            <w:tcBorders>
              <w:top w:val="nil"/>
              <w:left w:val="single" w:color="000000" w:sz="8" w:space="0"/>
              <w:bottom w:val="single" w:color="000000" w:sz="8" w:space="0"/>
              <w:right w:val="single" w:color="000000" w:sz="8" w:space="0"/>
            </w:tcBorders>
            <w:tcMar>
              <w:top w:w="0" w:type="dxa"/>
              <w:left w:w="118" w:type="dxa"/>
              <w:bottom w:w="10" w:type="dxa"/>
              <w:right w:w="118" w:type="dxa"/>
            </w:tcMar>
          </w:tcPr>
          <w:p w14:paraId="2F58BC23">
            <w:pPr>
              <w:pStyle w:val="51"/>
              <w:spacing w:line="320" w:lineRule="atLeast"/>
              <w:rPr>
                <w:rFonts w:ascii="宋体" w:hAnsi="宋体" w:cs="宋体"/>
                <w:color w:val="000000"/>
                <w:kern w:val="2"/>
              </w:rPr>
            </w:pPr>
            <w:r>
              <w:rPr>
                <w:rFonts w:hint="eastAsia" w:ascii="宋体" w:hAnsi="宋体" w:cs="宋体"/>
                <w:color w:val="000000"/>
                <w:kern w:val="2"/>
              </w:rPr>
              <w:t>业绩报酬（元）</w:t>
            </w:r>
          </w:p>
        </w:tc>
        <w:tc>
          <w:tcPr>
            <w:tcW w:w="4483" w:type="dxa"/>
            <w:tcBorders>
              <w:top w:val="nil"/>
              <w:left w:val="nil"/>
              <w:bottom w:val="single" w:color="000000" w:sz="8" w:space="0"/>
              <w:right w:val="single" w:color="000000" w:sz="8" w:space="0"/>
            </w:tcBorders>
            <w:tcMar>
              <w:top w:w="0" w:type="dxa"/>
              <w:left w:w="108" w:type="dxa"/>
              <w:bottom w:w="10" w:type="dxa"/>
              <w:right w:w="118" w:type="dxa"/>
            </w:tcMar>
          </w:tcPr>
          <w:p w14:paraId="493BA457">
            <w:pPr>
              <w:pStyle w:val="51"/>
              <w:rPr>
                <w:rFonts w:ascii="宋体" w:hAnsi="宋体" w:cs="宋体"/>
                <w:color w:val="000000"/>
                <w:kern w:val="2"/>
              </w:rPr>
            </w:pPr>
            <w:r>
              <w:rPr>
                <w:rFonts w:hint="eastAsia" w:ascii="宋体" w:hAnsi="宋体" w:cs="宋体"/>
                <w:color w:val="000000"/>
                <w:kern w:val="2"/>
              </w:rPr>
              <w:t>988,550.00</w:t>
            </w:r>
          </w:p>
        </w:tc>
      </w:tr>
    </w:tbl>
    <w:p w14:paraId="63C124C2">
      <w:pPr>
        <w:ind w:firstLine="400"/>
        <w:jc w:val="center"/>
        <w:rPr>
          <w:rFonts w:eastAsia="Times New Roman"/>
        </w:rPr>
      </w:pPr>
      <w:r>
        <w:rPr>
          <w:rFonts w:eastAsia="Times New Roman"/>
        </w:rPr>
        <w:t> </w:t>
      </w:r>
    </w:p>
    <w:p w14:paraId="44FA51FE">
      <w:pPr>
        <w:jc w:val="center"/>
        <w:rPr>
          <w:rFonts w:ascii="宋体" w:hAnsi="宋体"/>
          <w:bCs/>
          <w:sz w:val="33"/>
          <w:szCs w:val="33"/>
        </w:rPr>
      </w:pPr>
      <w:r>
        <w:rPr>
          <w:rFonts w:hint="eastAsia" w:ascii="宋体" w:hAnsi="宋体"/>
          <w:bCs/>
          <w:sz w:val="33"/>
          <w:szCs w:val="33"/>
        </w:rPr>
        <w:t>3</w:t>
      </w:r>
      <w:r>
        <w:rPr>
          <w:rFonts w:ascii="宋体" w:hAnsi="宋体"/>
          <w:bCs/>
          <w:sz w:val="33"/>
          <w:szCs w:val="33"/>
        </w:rPr>
        <w:t xml:space="preserve"> </w:t>
      </w:r>
      <w:r>
        <w:rPr>
          <w:rFonts w:hint="eastAsia" w:ascii="宋体" w:hAnsi="宋体"/>
          <w:bCs/>
          <w:sz w:val="33"/>
          <w:szCs w:val="33"/>
        </w:rPr>
        <w:t>主要财务指标和产品净值表现</w:t>
      </w: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22F26B67">
        <w:tblPrEx>
          <w:tblCellMar>
            <w:top w:w="0" w:type="dxa"/>
            <w:left w:w="108" w:type="dxa"/>
            <w:bottom w:w="0" w:type="dxa"/>
            <w:right w:w="108" w:type="dxa"/>
          </w:tblCellMar>
        </w:tblPrEx>
        <w:trPr>
          <w:tblCellSpacing w:w="8" w:type="dxa"/>
          <w:jc w:val="center"/>
        </w:trPr>
        <w:tc>
          <w:tcPr>
            <w:tcW w:w="8968" w:type="dxa"/>
            <w:tcMar>
              <w:top w:w="15" w:type="dxa"/>
              <w:left w:w="15" w:type="dxa"/>
              <w:bottom w:w="15" w:type="dxa"/>
              <w:right w:w="15" w:type="dxa"/>
            </w:tcMar>
            <w:vAlign w:val="center"/>
          </w:tcPr>
          <w:p w14:paraId="103B484F">
            <w:pPr>
              <w:rPr>
                <w:rFonts w:ascii="宋体" w:hAnsi="宋体"/>
                <w:color w:val="000000"/>
                <w:sz w:val="24"/>
                <w:szCs w:val="24"/>
              </w:rPr>
            </w:pPr>
            <w:r>
              <w:rPr>
                <w:rFonts w:hint="eastAsia" w:ascii="宋体" w:hAnsi="宋体" w:cs="宋体"/>
                <w:color w:val="000000"/>
                <w:sz w:val="24"/>
                <w:szCs w:val="24"/>
              </w:rPr>
              <w:t>3.1 主要财务指标</w:t>
            </w:r>
          </w:p>
        </w:tc>
      </w:tr>
    </w:tbl>
    <w:p w14:paraId="3C427150">
      <w:pPr>
        <w:rPr>
          <w:rFonts w:ascii="宋体" w:hAnsi="宋体"/>
          <w:vanish/>
          <w:sz w:val="24"/>
          <w:szCs w:val="24"/>
        </w:rPr>
      </w:pPr>
    </w:p>
    <w:tbl>
      <w:tblPr>
        <w:tblStyle w:val="17"/>
        <w:tblW w:w="9000" w:type="dxa"/>
        <w:jc w:val="center"/>
        <w:tblCellSpacing w:w="8" w:type="dxa"/>
        <w:tblLayout w:type="fixed"/>
        <w:tblCellMar>
          <w:top w:w="0" w:type="dxa"/>
          <w:left w:w="108" w:type="dxa"/>
          <w:bottom w:w="0" w:type="dxa"/>
          <w:right w:w="108" w:type="dxa"/>
        </w:tblCellMar>
      </w:tblPr>
      <w:tblGrid>
        <w:gridCol w:w="9000"/>
      </w:tblGrid>
      <w:tr w14:paraId="66B253B9">
        <w:tblPrEx>
          <w:tblCellMar>
            <w:top w:w="0" w:type="dxa"/>
            <w:left w:w="108" w:type="dxa"/>
            <w:bottom w:w="0" w:type="dxa"/>
            <w:right w:w="108" w:type="dxa"/>
          </w:tblCellMar>
        </w:tblPrEx>
        <w:trPr>
          <w:trHeight w:val="150" w:hRule="atLeast"/>
          <w:tblCellSpacing w:w="8" w:type="dxa"/>
          <w:jc w:val="center"/>
        </w:trPr>
        <w:tc>
          <w:tcPr>
            <w:tcW w:w="8968" w:type="dxa"/>
            <w:tcMar>
              <w:top w:w="15" w:type="dxa"/>
              <w:left w:w="15" w:type="dxa"/>
              <w:bottom w:w="15" w:type="dxa"/>
              <w:right w:w="15" w:type="dxa"/>
            </w:tcMar>
            <w:vAlign w:val="center"/>
          </w:tcPr>
          <w:p w14:paraId="0B192F70">
            <w:pPr>
              <w:pStyle w:val="51"/>
              <w:jc w:val="right"/>
              <w:rPr>
                <w:rFonts w:ascii="宋体" w:hAnsi="宋体"/>
                <w:color w:val="000000"/>
              </w:rPr>
            </w:pPr>
            <w:r>
              <w:rPr>
                <w:rFonts w:hint="eastAsia" w:ascii="宋体" w:hAnsi="宋体" w:cs="宋体"/>
                <w:color w:val="000000"/>
                <w:kern w:val="2"/>
              </w:rPr>
              <w:t>单位：元、元/份</w:t>
            </w:r>
          </w:p>
        </w:tc>
      </w:tr>
    </w:tbl>
    <w:p w14:paraId="615DB211">
      <w:pPr>
        <w:rPr>
          <w:rFonts w:ascii="宋体" w:hAnsi="宋体"/>
          <w:vanish/>
          <w:sz w:val="24"/>
          <w:szCs w:val="24"/>
        </w:rPr>
      </w:pPr>
    </w:p>
    <w:tbl>
      <w:tblPr>
        <w:tblStyle w:val="17"/>
        <w:tblW w:w="9152" w:type="dxa"/>
        <w:jc w:val="center"/>
        <w:tblLayout w:type="fixed"/>
        <w:tblCellMar>
          <w:top w:w="0" w:type="dxa"/>
          <w:left w:w="108" w:type="dxa"/>
          <w:bottom w:w="0" w:type="dxa"/>
          <w:right w:w="108" w:type="dxa"/>
        </w:tblCellMar>
      </w:tblPr>
      <w:tblGrid>
        <w:gridCol w:w="4581"/>
        <w:gridCol w:w="4571"/>
      </w:tblGrid>
      <w:tr w14:paraId="205EFA5C">
        <w:tblPrEx>
          <w:tblCellMar>
            <w:top w:w="0" w:type="dxa"/>
            <w:left w:w="108" w:type="dxa"/>
            <w:bottom w:w="0" w:type="dxa"/>
            <w:right w:w="108" w:type="dxa"/>
          </w:tblCellMar>
        </w:tblPrEx>
        <w:trPr>
          <w:trHeight w:val="850" w:hRule="atLeast"/>
          <w:jc w:val="center"/>
        </w:trPr>
        <w:tc>
          <w:tcPr>
            <w:tcW w:w="4581" w:type="dxa"/>
            <w:tcBorders>
              <w:top w:val="single" w:color="000000" w:sz="8" w:space="0"/>
              <w:left w:val="single" w:color="000000" w:sz="8" w:space="0"/>
              <w:bottom w:val="single" w:color="000000" w:sz="8" w:space="0"/>
              <w:right w:val="single" w:color="000000" w:sz="8" w:space="0"/>
            </w:tcBorders>
            <w:tcMar>
              <w:top w:w="10" w:type="dxa"/>
              <w:left w:w="118" w:type="dxa"/>
              <w:bottom w:w="10" w:type="dxa"/>
              <w:right w:w="118" w:type="dxa"/>
            </w:tcMar>
            <w:vAlign w:val="center"/>
          </w:tcPr>
          <w:p w14:paraId="3ED9922F">
            <w:pPr>
              <w:pStyle w:val="52"/>
              <w:spacing w:line="400" w:lineRule="atLeast"/>
              <w:rPr>
                <w:rFonts w:ascii="宋体" w:hAnsi="宋体" w:cs="宋体"/>
                <w:color w:val="000000"/>
                <w:kern w:val="2"/>
              </w:rPr>
            </w:pPr>
            <w:r>
              <w:rPr>
                <w:rFonts w:hint="eastAsia" w:ascii="宋体" w:hAnsi="宋体" w:cs="宋体"/>
                <w:color w:val="000000"/>
                <w:kern w:val="2"/>
              </w:rPr>
              <w:t>主要财务指标</w:t>
            </w:r>
          </w:p>
        </w:tc>
        <w:tc>
          <w:tcPr>
            <w:tcW w:w="4571" w:type="dxa"/>
            <w:tcBorders>
              <w:top w:val="single" w:color="000000" w:sz="8" w:space="0"/>
              <w:left w:val="nil"/>
              <w:bottom w:val="single" w:color="000000" w:sz="8" w:space="0"/>
              <w:right w:val="single" w:color="000000" w:sz="8" w:space="0"/>
            </w:tcBorders>
            <w:tcMar>
              <w:top w:w="10" w:type="dxa"/>
              <w:left w:w="108" w:type="dxa"/>
              <w:bottom w:w="10" w:type="dxa"/>
              <w:right w:w="118" w:type="dxa"/>
            </w:tcMar>
            <w:vAlign w:val="center"/>
          </w:tcPr>
          <w:p w14:paraId="45A1B137">
            <w:pPr>
              <w:pStyle w:val="51"/>
              <w:spacing w:line="400" w:lineRule="atLeast"/>
              <w:rPr>
                <w:rFonts w:ascii="宋体" w:hAnsi="宋体" w:cs="宋体"/>
                <w:color w:val="000000"/>
                <w:kern w:val="2"/>
              </w:rPr>
            </w:pPr>
            <w:r>
              <w:rPr>
                <w:rFonts w:hint="eastAsia" w:ascii="宋体" w:hAnsi="宋体" w:cs="宋体"/>
                <w:color w:val="000000"/>
                <w:kern w:val="2"/>
              </w:rPr>
              <w:t>2026-01-01</w:t>
            </w:r>
            <w:r>
              <w:rPr>
                <w:rFonts w:ascii="宋体" w:hAnsi="宋体" w:cs="宋体"/>
                <w:color w:val="000000"/>
                <w:kern w:val="2"/>
              </w:rPr>
              <w:t xml:space="preserve">  </w:t>
            </w:r>
            <w:r>
              <w:rPr>
                <w:rFonts w:hint="eastAsia" w:ascii="宋体" w:hAnsi="宋体" w:cs="宋体"/>
                <w:color w:val="000000"/>
                <w:kern w:val="2"/>
              </w:rPr>
              <w:t>至</w:t>
            </w:r>
            <w:r>
              <w:rPr>
                <w:rFonts w:ascii="宋体" w:hAnsi="宋体" w:cs="宋体"/>
                <w:color w:val="000000"/>
                <w:kern w:val="2"/>
              </w:rPr>
              <w:t xml:space="preserve"> </w:t>
            </w:r>
            <w:r>
              <w:rPr>
                <w:rFonts w:hint="eastAsia" w:ascii="宋体" w:hAnsi="宋体" w:cs="宋体"/>
                <w:color w:val="000000"/>
                <w:kern w:val="2"/>
              </w:rPr>
              <w:t xml:space="preserve"> 2026-06-30</w:t>
            </w:r>
          </w:p>
        </w:tc>
      </w:tr>
      <w:tr w14:paraId="498D2191">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tcMar>
              <w:top w:w="0" w:type="dxa"/>
              <w:left w:w="118" w:type="dxa"/>
              <w:bottom w:w="10" w:type="dxa"/>
              <w:right w:w="118" w:type="dxa"/>
            </w:tcMar>
          </w:tcPr>
          <w:p w14:paraId="2362CBE7">
            <w:pPr>
              <w:pStyle w:val="51"/>
              <w:spacing w:line="320" w:lineRule="atLeast"/>
              <w:rPr>
                <w:rFonts w:ascii="宋体" w:hAnsi="宋体" w:cs="宋体"/>
                <w:color w:val="000000"/>
                <w:kern w:val="2"/>
              </w:rPr>
            </w:pPr>
            <w:r>
              <w:rPr>
                <w:rFonts w:hint="eastAsia" w:ascii="宋体" w:hAnsi="宋体" w:cs="宋体"/>
                <w:color w:val="000000"/>
                <w:kern w:val="2"/>
              </w:rPr>
              <w:t>1.期末产品资产净值</w:t>
            </w:r>
          </w:p>
        </w:tc>
        <w:tc>
          <w:tcPr>
            <w:tcW w:w="4571" w:type="dxa"/>
            <w:tcBorders>
              <w:top w:val="nil"/>
              <w:left w:val="nil"/>
              <w:bottom w:val="single" w:color="auto" w:sz="4" w:space="0"/>
              <w:right w:val="single" w:color="000000" w:sz="8" w:space="0"/>
            </w:tcBorders>
            <w:tcMar>
              <w:top w:w="0" w:type="dxa"/>
              <w:left w:w="108" w:type="dxa"/>
              <w:bottom w:w="10" w:type="dxa"/>
              <w:right w:w="118" w:type="dxa"/>
            </w:tcMar>
            <w:vAlign w:val="center"/>
          </w:tcPr>
          <w:p w14:paraId="4E026402">
            <w:pPr>
              <w:jc w:val="right"/>
              <w:rPr>
                <w:rFonts w:ascii="宋体" w:hAnsi="宋体" w:cs="宋体"/>
                <w:color w:val="000000"/>
                <w:sz w:val="24"/>
                <w:szCs w:val="24"/>
              </w:rPr>
            </w:pPr>
            <w:r>
              <w:rPr>
                <w:rFonts w:hint="eastAsia" w:ascii="宋体" w:hAnsi="宋体" w:cs="宋体"/>
                <w:color w:val="000000"/>
                <w:sz w:val="24"/>
                <w:szCs w:val="24"/>
              </w:rPr>
              <w:t>387,099,706.64</w:t>
            </w:r>
          </w:p>
        </w:tc>
      </w:tr>
      <w:tr w14:paraId="686A7881">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0558F7AD">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22352A</w:t>
            </w:r>
          </w:p>
        </w:tc>
        <w:tc>
          <w:tcPr>
            <w:tcW w:w="4571" w:type="dxa"/>
            <w:tcBorders>
              <w:top w:val="nil"/>
              <w:left w:val="nil"/>
              <w:bottom w:val="single" w:color="auto" w:sz="4" w:space="0"/>
              <w:right w:val="single" w:color="000000" w:sz="8" w:space="0"/>
            </w:tcBorders>
            <w:shd w:val="clear" w:color="auto" w:fill="auto"/>
            <w:vAlign w:val="center"/>
          </w:tcPr>
          <w:p w14:paraId="7A1E2772">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263,271,298.08</w:t>
            </w:r>
          </w:p>
        </w:tc>
      </w:tr>
      <w:tr w14:paraId="61FFDF72">
        <w:tblPrEx>
          <w:tblCellMar>
            <w:top w:w="0" w:type="dxa"/>
            <w:left w:w="108" w:type="dxa"/>
            <w:bottom w:w="0" w:type="dxa"/>
            <w:right w:w="108" w:type="dxa"/>
          </w:tblCellMar>
        </w:tblPrEx>
        <w:trPr>
          <w:trHeight w:val="385" w:hRule="atLeast"/>
          <w:jc w:val="center"/>
        </w:trPr>
        <w:tc>
          <w:tcPr>
            <w:tcW w:w="4581" w:type="dxa"/>
            <w:tcBorders>
              <w:top w:val="nil"/>
              <w:left w:val="single" w:color="000000" w:sz="8" w:space="0"/>
              <w:bottom w:val="single" w:color="auto" w:sz="4" w:space="0"/>
              <w:right w:val="single" w:color="000000" w:sz="8" w:space="0"/>
            </w:tcBorders>
            <w:shd w:val="clear" w:color="auto" w:fill="auto"/>
          </w:tcPr>
          <w:p w14:paraId="20F8097C">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22352B</w:t>
            </w:r>
          </w:p>
        </w:tc>
        <w:tc>
          <w:tcPr>
            <w:tcW w:w="4571" w:type="dxa"/>
            <w:tcBorders>
              <w:top w:val="nil"/>
              <w:left w:val="nil"/>
              <w:bottom w:val="single" w:color="auto" w:sz="4" w:space="0"/>
              <w:right w:val="single" w:color="000000" w:sz="8" w:space="0"/>
            </w:tcBorders>
            <w:shd w:val="clear" w:color="auto" w:fill="auto"/>
            <w:vAlign w:val="center"/>
          </w:tcPr>
          <w:p w14:paraId="46A0A9C8">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123,828,408.56</w:t>
            </w:r>
          </w:p>
        </w:tc>
      </w:tr>
      <w:tr w14:paraId="188119EB">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3C8187B7">
            <w:pPr>
              <w:pStyle w:val="51"/>
              <w:spacing w:line="320" w:lineRule="atLeast"/>
              <w:rPr>
                <w:rFonts w:ascii="宋体" w:hAnsi="宋体" w:cs="宋体"/>
                <w:color w:val="000000"/>
                <w:kern w:val="2"/>
              </w:rPr>
            </w:pPr>
            <w:r>
              <w:rPr>
                <w:rFonts w:hint="eastAsia" w:ascii="宋体" w:hAnsi="宋体" w:cs="宋体"/>
                <w:color w:val="000000"/>
                <w:kern w:val="2"/>
              </w:rPr>
              <w:t>2.期末产品份额净值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231AE85F">
            <w:pPr>
              <w:jc w:val="right"/>
              <w:rPr>
                <w:rFonts w:ascii="宋体" w:hAnsi="宋体" w:cs="宋体"/>
                <w:color w:val="000000"/>
                <w:sz w:val="24"/>
                <w:szCs w:val="24"/>
              </w:rPr>
            </w:pPr>
            <w:r>
              <w:rPr>
                <w:rFonts w:hint="eastAsia" w:ascii="宋体" w:hAnsi="宋体" w:cs="宋体"/>
                <w:color w:val="000000"/>
                <w:sz w:val="24"/>
                <w:szCs w:val="24"/>
              </w:rPr>
              <w:t>1.10972692</w:t>
            </w:r>
          </w:p>
        </w:tc>
      </w:tr>
      <w:tr w14:paraId="1B5A3849">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209FA7E2">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22352A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EB154A9">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1.10857676</w:t>
            </w:r>
          </w:p>
        </w:tc>
      </w:tr>
      <w:tr w14:paraId="0FEA887C">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71569279">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22352B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77047E93">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1.11218023</w:t>
            </w:r>
          </w:p>
        </w:tc>
      </w:tr>
      <w:tr w14:paraId="42DF18B5">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4A46A5FC">
            <w:pPr>
              <w:pStyle w:val="51"/>
              <w:spacing w:line="320" w:lineRule="atLeast"/>
              <w:rPr>
                <w:rFonts w:ascii="宋体" w:hAnsi="宋体" w:cs="宋体"/>
                <w:color w:val="000000"/>
                <w:kern w:val="2"/>
              </w:rPr>
            </w:pPr>
            <w:r>
              <w:rPr>
                <w:rFonts w:hint="eastAsia" w:ascii="宋体" w:hAnsi="宋体" w:cs="宋体"/>
                <w:color w:val="000000"/>
                <w:kern w:val="2"/>
              </w:rPr>
              <w:t>3.期末产品份额累计净值</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0CAB9AD1">
            <w:pPr>
              <w:jc w:val="right"/>
              <w:rPr>
                <w:rFonts w:ascii="宋体" w:hAnsi="宋体" w:cs="宋体"/>
                <w:color w:val="000000"/>
                <w:sz w:val="24"/>
                <w:szCs w:val="24"/>
              </w:rPr>
            </w:pPr>
            <w:r>
              <w:rPr>
                <w:rFonts w:hint="eastAsia" w:ascii="宋体" w:hAnsi="宋体" w:cs="宋体"/>
                <w:color w:val="000000"/>
                <w:sz w:val="24"/>
                <w:szCs w:val="24"/>
              </w:rPr>
              <w:t>1.10972692</w:t>
            </w:r>
          </w:p>
        </w:tc>
      </w:tr>
      <w:tr w14:paraId="5E4C7635">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17CC3408">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其中： 22352A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DD8618C">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1.10857676</w:t>
            </w:r>
          </w:p>
        </w:tc>
      </w:tr>
      <w:tr w14:paraId="2FFCFFB4">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75204CAE">
            <w:pPr>
              <w:pStyle w:val="51"/>
              <w:spacing w:line="320" w:lineRule="atLeast"/>
              <w:ind w:hanging="1"/>
              <w:jc w:val="left"/>
              <w:rPr>
                <w:rFonts w:ascii="宋体" w:hAnsi="宋体" w:cs="宋体"/>
                <w:color w:val="000000"/>
                <w:kern w:val="2"/>
              </w:rPr>
            </w:pPr>
            <w:r>
              <w:rPr>
                <w:rFonts w:hint="eastAsia" w:ascii="宋体" w:hAnsi="宋体" w:cs="宋体"/>
                <w:b w:val="0"/>
                <w:i w:val="0"/>
                <w:strike w:val="0"/>
                <w:color w:val="000000"/>
                <w:u w:val="none"/>
              </w:rPr>
              <w:t>22352B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0110D105">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1.11218023</w:t>
            </w:r>
          </w:p>
        </w:tc>
      </w:tr>
      <w:tr w14:paraId="4409E486">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tcMar>
              <w:top w:w="0" w:type="dxa"/>
              <w:left w:w="118" w:type="dxa"/>
              <w:bottom w:w="10" w:type="dxa"/>
              <w:right w:w="118" w:type="dxa"/>
            </w:tcMar>
          </w:tcPr>
          <w:p w14:paraId="2F747530">
            <w:pPr>
              <w:pStyle w:val="51"/>
              <w:spacing w:line="320" w:lineRule="atLeast"/>
              <w:rPr>
                <w:rFonts w:hint="default" w:ascii="宋体" w:hAnsi="宋体" w:eastAsia="宋体" w:cs="宋体"/>
                <w:color w:val="000000"/>
                <w:kern w:val="2"/>
                <w:lang w:val="en-US" w:eastAsia="zh-CN"/>
              </w:rPr>
            </w:pPr>
            <w:r>
              <w:rPr>
                <w:rFonts w:hint="eastAsia" w:ascii="宋体" w:hAnsi="宋体" w:cs="宋体"/>
                <w:color w:val="000000"/>
                <w:kern w:val="2"/>
              </w:rPr>
              <w:t>4.本报告期累计净值增长率</w:t>
            </w:r>
            <w:r>
              <w:rPr>
                <w:rFonts w:hint="eastAsia" w:ascii="宋体" w:hAnsi="宋体" w:cs="宋体"/>
                <w:color w:val="000000"/>
                <w:kern w:val="2"/>
                <w:lang w:eastAsia="zh-CN"/>
              </w:rPr>
              <w:t>（</w:t>
            </w:r>
            <w:r>
              <w:rPr>
                <w:rFonts w:hint="eastAsia" w:ascii="宋体" w:hAnsi="宋体" w:cs="宋体"/>
                <w:color w:val="000000"/>
                <w:kern w:val="2"/>
                <w:lang w:val="en-US" w:eastAsia="zh-CN"/>
              </w:rPr>
              <w:t>%）</w:t>
            </w:r>
          </w:p>
        </w:tc>
        <w:tc>
          <w:tcPr>
            <w:tcW w:w="4571" w:type="dxa"/>
            <w:tcBorders>
              <w:top w:val="single" w:color="auto" w:sz="4" w:space="0"/>
              <w:left w:val="single" w:color="auto" w:sz="4" w:space="0"/>
              <w:bottom w:val="single" w:color="auto" w:sz="4" w:space="0"/>
              <w:right w:val="single" w:color="auto" w:sz="4" w:space="0"/>
            </w:tcBorders>
            <w:tcMar>
              <w:top w:w="0" w:type="dxa"/>
              <w:left w:w="108" w:type="dxa"/>
              <w:bottom w:w="10" w:type="dxa"/>
              <w:right w:w="118" w:type="dxa"/>
            </w:tcMar>
            <w:vAlign w:val="center"/>
          </w:tcPr>
          <w:p w14:paraId="3A4DE49A">
            <w:pPr>
              <w:jc w:val="right"/>
              <w:rPr>
                <w:rFonts w:ascii="宋体" w:hAnsi="宋体" w:cs="宋体"/>
                <w:color w:val="000000"/>
                <w:sz w:val="24"/>
                <w:szCs w:val="24"/>
              </w:rPr>
            </w:pPr>
            <w:r>
              <w:rPr>
                <w:rFonts w:hint="eastAsia" w:ascii="宋体" w:hAnsi="宋体" w:cs="宋体"/>
                <w:color w:val="000000"/>
                <w:sz w:val="24"/>
                <w:szCs w:val="24"/>
              </w:rPr>
              <w:t>1.01</w:t>
            </w:r>
          </w:p>
        </w:tc>
      </w:tr>
      <w:tr w14:paraId="03461812">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5FD05E17">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其中： 22352A（%）</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45F6CCCE">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0.99</w:t>
            </w:r>
          </w:p>
        </w:tc>
      </w:tr>
      <w:tr w14:paraId="668B2AE8">
        <w:tblPrEx>
          <w:tblCellMar>
            <w:top w:w="0" w:type="dxa"/>
            <w:left w:w="108" w:type="dxa"/>
            <w:bottom w:w="0" w:type="dxa"/>
            <w:right w:w="108" w:type="dxa"/>
          </w:tblCellMar>
        </w:tblPrEx>
        <w:trPr>
          <w:trHeight w:val="385" w:hRule="atLeast"/>
          <w:jc w:val="center"/>
        </w:trPr>
        <w:tc>
          <w:tcPr>
            <w:tcW w:w="4581" w:type="dxa"/>
            <w:tcBorders>
              <w:top w:val="single" w:color="auto" w:sz="4" w:space="0"/>
              <w:left w:val="single" w:color="auto" w:sz="4" w:space="0"/>
              <w:bottom w:val="single" w:color="auto" w:sz="4" w:space="0"/>
              <w:right w:val="single" w:color="auto" w:sz="4" w:space="0"/>
            </w:tcBorders>
            <w:shd w:val="clear" w:color="auto" w:fill="auto"/>
          </w:tcPr>
          <w:p w14:paraId="6857D6CC">
            <w:pPr>
              <w:pStyle w:val="51"/>
              <w:spacing w:line="320" w:lineRule="atLeast"/>
              <w:ind w:hanging="1"/>
              <w:jc w:val="left"/>
              <w:rPr>
                <w:rFonts w:hint="default" w:ascii="宋体" w:hAnsi="宋体" w:eastAsia="宋体" w:cs="宋体"/>
                <w:color w:val="000000"/>
                <w:kern w:val="2"/>
                <w:lang w:val="en-US" w:eastAsia="zh-CN"/>
              </w:rPr>
            </w:pPr>
            <w:r>
              <w:rPr>
                <w:rFonts w:hint="eastAsia" w:ascii="宋体" w:hAnsi="宋体" w:cs="宋体"/>
                <w:b w:val="0"/>
                <w:i w:val="0"/>
                <w:strike w:val="0"/>
                <w:color w:val="000000"/>
                <w:u w:val="none"/>
              </w:rPr>
              <w:t>22352B（%）</w:t>
            </w:r>
          </w:p>
        </w:tc>
        <w:tc>
          <w:tcPr>
            <w:tcW w:w="4571" w:type="dxa"/>
            <w:tcBorders>
              <w:top w:val="single" w:color="auto" w:sz="4" w:space="0"/>
              <w:left w:val="single" w:color="auto" w:sz="4" w:space="0"/>
              <w:bottom w:val="single" w:color="auto" w:sz="4" w:space="0"/>
              <w:right w:val="single" w:color="auto" w:sz="4" w:space="0"/>
            </w:tcBorders>
            <w:shd w:val="clear" w:color="auto" w:fill="auto"/>
            <w:vAlign w:val="center"/>
          </w:tcPr>
          <w:p w14:paraId="6DCC4281">
            <w:pPr>
              <w:ind w:hanging="1"/>
              <w:jc w:val="right"/>
              <w:rPr>
                <w:rFonts w:ascii="宋体" w:hAnsi="宋体" w:cs="宋体"/>
                <w:color w:val="000000"/>
                <w:sz w:val="24"/>
                <w:szCs w:val="24"/>
              </w:rPr>
            </w:pPr>
            <w:r>
              <w:rPr>
                <w:rFonts w:hint="eastAsia" w:ascii="宋体" w:hAnsi="宋体" w:cs="宋体"/>
                <w:b w:val="0"/>
                <w:i w:val="0"/>
                <w:strike w:val="0"/>
                <w:color w:val="000000"/>
                <w:sz w:val="24"/>
                <w:u w:val="none"/>
              </w:rPr>
              <w:t>1.04</w:t>
            </w:r>
          </w:p>
        </w:tc>
      </w:tr>
    </w:tbl>
    <w:p w14:paraId="196B1F95">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注：除产品合同和说明书另有规定外，期末产品份额净值、期末产品份额累计净值按截位法保留至小数点后第8</w:t>
      </w:r>
      <w:r>
        <w:rPr>
          <w:rFonts w:hint="eastAsia" w:ascii="宋体" w:hAnsi="宋体" w:cs="宋体"/>
          <w:color w:val="000000"/>
          <w:sz w:val="24"/>
          <w:szCs w:val="24"/>
        </w:rPr>
        <w:t>位，其他财务指标保留至小数点后第2位。</w:t>
      </w:r>
    </w:p>
    <w:p w14:paraId="686EB5C2">
      <w:pPr>
        <w:ind w:firstLine="400"/>
        <w:jc w:val="center"/>
        <w:rPr>
          <w:rFonts w:eastAsiaTheme="minorEastAsia"/>
        </w:rPr>
      </w:pPr>
    </w:p>
    <w:p w14:paraId="097986BC">
      <w:pPr>
        <w:jc w:val="center"/>
        <w:rPr>
          <w:rFonts w:ascii="宋体" w:hAnsi="宋体"/>
          <w:bCs/>
          <w:sz w:val="33"/>
          <w:szCs w:val="33"/>
        </w:rPr>
      </w:pPr>
      <w:r>
        <w:rPr>
          <w:rFonts w:hint="eastAsia" w:ascii="宋体" w:hAnsi="宋体"/>
          <w:bCs/>
          <w:sz w:val="33"/>
          <w:szCs w:val="33"/>
        </w:rPr>
        <w:t>4</w:t>
      </w:r>
      <w:r>
        <w:rPr>
          <w:rFonts w:ascii="宋体" w:hAnsi="宋体"/>
          <w:bCs/>
          <w:sz w:val="33"/>
          <w:szCs w:val="33"/>
        </w:rPr>
        <w:t xml:space="preserve"> </w:t>
      </w:r>
      <w:r>
        <w:rPr>
          <w:rFonts w:hint="eastAsia" w:ascii="宋体" w:hAnsi="宋体"/>
          <w:bCs/>
          <w:sz w:val="33"/>
          <w:szCs w:val="33"/>
        </w:rPr>
        <w:t>投资组合报告</w:t>
      </w:r>
    </w:p>
    <w:p w14:paraId="0945C44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4368629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5B74B34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rPr>
      </w:pPr>
    </w:p>
    <w:p w14:paraId="09D90F65">
      <w:pPr>
        <w:jc w:val="left"/>
        <w:rPr>
          <w:rFonts w:hint="eastAsia" w:ascii="宋体" w:hAnsi="宋体" w:cs="宋体"/>
          <w:color w:val="000000"/>
          <w:sz w:val="24"/>
          <w:szCs w:val="24"/>
        </w:rPr>
      </w:pPr>
      <w:r>
        <w:rPr>
          <w:rFonts w:hint="eastAsia" w:ascii="宋体" w:hAnsi="宋体" w:cs="宋体"/>
          <w:color w:val="000000"/>
          <w:sz w:val="24"/>
          <w:szCs w:val="24"/>
        </w:rPr>
        <w:t>4.1 管理人对报告期内投资组合的投资策略说明</w:t>
      </w:r>
    </w:p>
    <w:p w14:paraId="395F0F4F">
      <w:pPr>
        <w:jc w:val="left"/>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 xml:space="preserve">4.1.1 </w:t>
      </w:r>
      <w:r>
        <w:rPr>
          <w:rFonts w:hint="eastAsia" w:ascii="宋体" w:hAnsi="宋体" w:cs="宋体"/>
          <w:color w:val="000000"/>
          <w:sz w:val="24"/>
          <w:szCs w:val="24"/>
        </w:rPr>
        <w:t>投资组合的</w:t>
      </w:r>
      <w:r>
        <w:rPr>
          <w:rFonts w:hint="eastAsia" w:ascii="宋体" w:hAnsi="宋体" w:cs="宋体"/>
          <w:color w:val="000000"/>
          <w:sz w:val="24"/>
          <w:szCs w:val="24"/>
          <w:lang w:val="en-US" w:eastAsia="zh-CN"/>
        </w:rPr>
        <w:t>投资策略和运作分析</w:t>
      </w:r>
    </w:p>
    <w:p w14:paraId="049792BC">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2026年上半年，在经济弱复苏、货币政策宽松的背景下，债券市场呈现“震荡走强”格局。一季度，国内经济弱复苏，货币政策维持适度宽松基调，外围扰动加大，债券收益率震荡下行。1月在股债跷跷板效应以及年初配置盘集中入场的影响下，债券收益率先上后下；2月资金宽松主导债券市场定价，收益率持续下行；3月美伊战争引发的通胀预期和资金宽松影响下，债券长短行情分化，曲线收益率陡峭化，整体震荡偏强。二季度在经济基本面数据偏弱的背景下，资金成为影响市场收益率定价的核心因素。4月流动性超预期宽松，收益率下行；5月资金松紧交替、整体偏松；6月流动性转紧，债券收益率反弹后进入窄幅震荡阶段。</w:t>
      </w:r>
    </w:p>
    <w:p w14:paraId="17C64669">
      <w:pPr>
        <w:spacing w:line="360" w:lineRule="auto"/>
        <w:ind w:firstLine="480" w:firstLineChars="200"/>
        <w:jc w:val="left"/>
        <w:rPr>
          <w:rFonts w:hint="default" w:ascii="宋体" w:hAnsi="宋体" w:cs="宋体"/>
          <w:color w:val="000000"/>
          <w:sz w:val="24"/>
          <w:szCs w:val="24"/>
          <w:lang w:val="en-US" w:eastAsia="zh-CN"/>
        </w:rPr>
      </w:pPr>
      <w:r>
        <w:rPr>
          <w:rFonts w:hint="default" w:ascii="宋体" w:hAnsi="宋体" w:cs="宋体"/>
          <w:color w:val="000000"/>
          <w:sz w:val="24"/>
          <w:szCs w:val="24"/>
          <w:lang w:val="en-US" w:eastAsia="zh-CN"/>
        </w:rPr>
        <w:t>开放式产品组合以中高等级信用债为底仓，严控信用风险，构建收益稳健、风险可控的投资组合，力争获取超额收益。上半年，组合灵活调整久期与杠杆，底仓以高等级信用债获取票息收益，同步搭配高流动性资产，优化组合流动性，依托利率债、国有大行二永债波段操作，在风险收益匹配的前提下增厚组合整体收益。</w:t>
      </w:r>
    </w:p>
    <w:p w14:paraId="261CDA0E">
      <w:pPr>
        <w:jc w:val="left"/>
        <w:rPr>
          <w:rFonts w:ascii="宋体" w:hAnsi="宋体" w:cs="宋体"/>
          <w:color w:val="000000"/>
          <w:sz w:val="24"/>
          <w:szCs w:val="24"/>
        </w:rPr>
      </w:pPr>
      <w:r>
        <w:rPr>
          <w:rFonts w:hint="eastAsia" w:ascii="宋体" w:hAnsi="宋体" w:cs="宋体"/>
          <w:color w:val="000000"/>
          <w:sz w:val="24"/>
          <w:szCs w:val="24"/>
          <w:lang w:val="en-US" w:eastAsia="zh-CN"/>
        </w:rPr>
        <w:t xml:space="preserve">4.1.2 </w:t>
      </w:r>
      <w:r>
        <w:rPr>
          <w:rFonts w:hint="eastAsia" w:ascii="宋体" w:hAnsi="宋体" w:cs="宋体"/>
          <w:color w:val="000000"/>
          <w:sz w:val="24"/>
          <w:szCs w:val="24"/>
        </w:rPr>
        <w:t>投资组合的流动性风险分析</w:t>
      </w:r>
    </w:p>
    <w:p w14:paraId="27D161EE">
      <w:pPr>
        <w:spacing w:line="360" w:lineRule="auto"/>
        <w:ind w:firstLine="480" w:firstLineChars="200"/>
        <w:jc w:val="left"/>
        <w:rPr>
          <w:rFonts w:hint="eastAsia" w:ascii="宋体" w:hAnsi="宋体" w:cs="宋体"/>
          <w:color w:val="000000"/>
          <w:sz w:val="24"/>
          <w:szCs w:val="24"/>
        </w:rPr>
      </w:pPr>
      <w:r>
        <w:rPr>
          <w:rFonts w:hint="eastAsia" w:ascii="宋体" w:hAnsi="宋体" w:cs="宋体"/>
          <w:color w:val="000000"/>
          <w:sz w:val="24"/>
          <w:szCs w:val="24"/>
        </w:rPr>
        <w:t>本产品投资方向为固收类资产，本行审慎对国内外宏观经济形势、市场利率走势及债券市场资金供求情况综合分析，预测债券市场利率走势，结合流动性预判及各类流动性管理措施，并对各投资品种收益率、波动性、各类风险进行在控制风险的前提下，积极构建及调整投资组合，力争合理的流动性安排。</w:t>
      </w:r>
    </w:p>
    <w:p w14:paraId="399A0BD9">
      <w:pPr>
        <w:spacing w:line="360" w:lineRule="auto"/>
        <w:ind w:firstLine="480" w:firstLineChars="200"/>
        <w:jc w:val="left"/>
        <w:rPr>
          <w:rFonts w:ascii="宋体" w:hAnsi="宋体" w:cs="宋体"/>
          <w:color w:val="000000"/>
          <w:sz w:val="24"/>
          <w:szCs w:val="24"/>
        </w:rPr>
      </w:pPr>
      <w:bookmarkStart w:id="2" w:name="_GoBack"/>
      <w:bookmarkEnd w:id="2"/>
    </w:p>
    <w:p w14:paraId="59C828F0">
      <w:pPr>
        <w:jc w:val="left"/>
        <w:rPr>
          <w:rFonts w:ascii="宋体" w:hAnsi="宋体" w:cs="宋体"/>
          <w:color w:val="000000"/>
          <w:sz w:val="24"/>
          <w:szCs w:val="24"/>
        </w:rPr>
      </w:pPr>
      <w:r>
        <w:rPr>
          <w:rFonts w:hint="eastAsia" w:ascii="宋体" w:hAnsi="宋体" w:cs="宋体"/>
          <w:color w:val="000000"/>
          <w:sz w:val="24"/>
          <w:szCs w:val="24"/>
        </w:rPr>
        <w:t>4.2 报告期末资产情况</w:t>
      </w:r>
    </w:p>
    <w:p w14:paraId="7466C347">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457E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190F4862">
            <w:pPr>
              <w:jc w:val="center"/>
              <w:rPr>
                <w:rFonts w:ascii="宋体" w:hAnsi="宋体"/>
                <w:b/>
                <w:sz w:val="24"/>
                <w:szCs w:val="24"/>
              </w:rPr>
            </w:pPr>
            <w:r>
              <w:rPr>
                <w:rFonts w:hint="eastAsia" w:ascii="宋体" w:hAnsi="宋体"/>
                <w:b/>
                <w:sz w:val="24"/>
                <w:szCs w:val="24"/>
              </w:rPr>
              <w:t>序号</w:t>
            </w:r>
          </w:p>
        </w:tc>
        <w:tc>
          <w:tcPr>
            <w:tcW w:w="1447" w:type="dxa"/>
            <w:vMerge w:val="restart"/>
            <w:shd w:val="clear" w:color="auto" w:fill="D9D9D9"/>
            <w:vAlign w:val="center"/>
          </w:tcPr>
          <w:p w14:paraId="29756FD4">
            <w:pPr>
              <w:jc w:val="center"/>
              <w:rPr>
                <w:rFonts w:ascii="宋体" w:hAnsi="宋体"/>
                <w:b/>
                <w:sz w:val="24"/>
                <w:szCs w:val="24"/>
              </w:rPr>
            </w:pPr>
            <w:r>
              <w:rPr>
                <w:rFonts w:hint="eastAsia" w:ascii="宋体" w:hAnsi="宋体"/>
                <w:b/>
                <w:sz w:val="24"/>
                <w:szCs w:val="24"/>
              </w:rPr>
              <w:t>项目</w:t>
            </w:r>
          </w:p>
        </w:tc>
        <w:tc>
          <w:tcPr>
            <w:tcW w:w="3446" w:type="dxa"/>
            <w:gridSpan w:val="2"/>
            <w:shd w:val="clear" w:color="auto" w:fill="D9D9D9"/>
            <w:vAlign w:val="center"/>
          </w:tcPr>
          <w:p w14:paraId="1DA929B5">
            <w:pPr>
              <w:jc w:val="center"/>
              <w:rPr>
                <w:rFonts w:ascii="宋体" w:hAnsi="宋体"/>
                <w:b/>
                <w:sz w:val="24"/>
                <w:szCs w:val="24"/>
              </w:rPr>
            </w:pPr>
            <w:r>
              <w:rPr>
                <w:rFonts w:hint="eastAsia" w:ascii="宋体" w:hAnsi="宋体"/>
                <w:b/>
                <w:sz w:val="24"/>
                <w:szCs w:val="24"/>
              </w:rPr>
              <w:t>直接</w:t>
            </w:r>
            <w:r>
              <w:rPr>
                <w:rFonts w:ascii="宋体" w:hAnsi="宋体"/>
                <w:b/>
                <w:sz w:val="24"/>
                <w:szCs w:val="24"/>
              </w:rPr>
              <w:t>投资</w:t>
            </w:r>
          </w:p>
        </w:tc>
        <w:tc>
          <w:tcPr>
            <w:tcW w:w="3358" w:type="dxa"/>
            <w:gridSpan w:val="2"/>
            <w:shd w:val="clear" w:color="auto" w:fill="D9D9D9"/>
            <w:vAlign w:val="center"/>
          </w:tcPr>
          <w:p w14:paraId="0D1DC005">
            <w:pPr>
              <w:jc w:val="center"/>
              <w:rPr>
                <w:rFonts w:ascii="宋体" w:hAnsi="宋体"/>
                <w:b/>
                <w:sz w:val="24"/>
                <w:szCs w:val="24"/>
              </w:rPr>
            </w:pPr>
            <w:r>
              <w:rPr>
                <w:rFonts w:hint="eastAsia" w:ascii="宋体" w:hAnsi="宋体"/>
                <w:b/>
                <w:sz w:val="24"/>
                <w:szCs w:val="24"/>
              </w:rPr>
              <w:t>间接</w:t>
            </w:r>
            <w:r>
              <w:rPr>
                <w:rFonts w:ascii="宋体" w:hAnsi="宋体"/>
                <w:b/>
                <w:sz w:val="24"/>
                <w:szCs w:val="24"/>
              </w:rPr>
              <w:t>投资</w:t>
            </w:r>
          </w:p>
        </w:tc>
      </w:tr>
      <w:tr w14:paraId="5E4B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290EA3FA">
            <w:pPr>
              <w:jc w:val="center"/>
              <w:rPr>
                <w:rFonts w:ascii="宋体" w:hAnsi="宋体"/>
                <w:b/>
                <w:sz w:val="24"/>
                <w:szCs w:val="24"/>
              </w:rPr>
            </w:pPr>
          </w:p>
        </w:tc>
        <w:tc>
          <w:tcPr>
            <w:tcW w:w="1447" w:type="dxa"/>
            <w:vMerge w:val="continue"/>
            <w:shd w:val="clear" w:color="auto" w:fill="D9D9D9"/>
            <w:vAlign w:val="center"/>
          </w:tcPr>
          <w:p w14:paraId="126E3FE7">
            <w:pPr>
              <w:jc w:val="center"/>
              <w:rPr>
                <w:rFonts w:ascii="宋体" w:hAnsi="宋体"/>
                <w:b/>
                <w:sz w:val="24"/>
                <w:szCs w:val="24"/>
              </w:rPr>
            </w:pPr>
          </w:p>
        </w:tc>
        <w:tc>
          <w:tcPr>
            <w:tcW w:w="1697" w:type="dxa"/>
            <w:shd w:val="clear" w:color="auto" w:fill="D9D9D9"/>
            <w:vAlign w:val="center"/>
          </w:tcPr>
          <w:p w14:paraId="4FE785F9">
            <w:pPr>
              <w:jc w:val="center"/>
              <w:rPr>
                <w:rFonts w:ascii="宋体" w:hAnsi="宋体"/>
                <w:b/>
                <w:sz w:val="24"/>
                <w:szCs w:val="24"/>
              </w:rPr>
            </w:pPr>
            <w:r>
              <w:rPr>
                <w:rFonts w:hint="eastAsia" w:ascii="宋体" w:hAnsi="宋体"/>
                <w:b/>
                <w:sz w:val="24"/>
                <w:szCs w:val="24"/>
              </w:rPr>
              <w:t>金额</w:t>
            </w:r>
          </w:p>
        </w:tc>
        <w:tc>
          <w:tcPr>
            <w:tcW w:w="1749" w:type="dxa"/>
            <w:shd w:val="clear" w:color="auto" w:fill="D9D9D9"/>
            <w:vAlign w:val="center"/>
          </w:tcPr>
          <w:p w14:paraId="7BBB5D96">
            <w:pPr>
              <w:jc w:val="center"/>
              <w:rPr>
                <w:rFonts w:ascii="宋体" w:hAnsi="宋体"/>
                <w:b/>
                <w:sz w:val="24"/>
                <w:szCs w:val="24"/>
              </w:rPr>
            </w:pPr>
            <w:r>
              <w:rPr>
                <w:rFonts w:hint="eastAsia" w:ascii="宋体" w:hAnsi="宋体"/>
                <w:b/>
                <w:sz w:val="24"/>
                <w:szCs w:val="24"/>
              </w:rPr>
              <w:t>占产品总资产的比例（%）</w:t>
            </w:r>
          </w:p>
        </w:tc>
        <w:tc>
          <w:tcPr>
            <w:tcW w:w="1653" w:type="dxa"/>
            <w:shd w:val="clear" w:color="auto" w:fill="D9D9D9"/>
            <w:vAlign w:val="center"/>
          </w:tcPr>
          <w:p w14:paraId="7FD9823B">
            <w:pPr>
              <w:jc w:val="center"/>
              <w:rPr>
                <w:rFonts w:ascii="宋体" w:hAnsi="宋体"/>
                <w:b/>
                <w:sz w:val="24"/>
                <w:szCs w:val="24"/>
              </w:rPr>
            </w:pPr>
            <w:r>
              <w:rPr>
                <w:rFonts w:hint="eastAsia" w:ascii="宋体" w:hAnsi="宋体"/>
                <w:b/>
                <w:sz w:val="24"/>
                <w:szCs w:val="24"/>
              </w:rPr>
              <w:t>金额</w:t>
            </w:r>
          </w:p>
        </w:tc>
        <w:tc>
          <w:tcPr>
            <w:tcW w:w="1705" w:type="dxa"/>
            <w:shd w:val="clear" w:color="auto" w:fill="D9D9D9"/>
          </w:tcPr>
          <w:p w14:paraId="7CD24140">
            <w:pPr>
              <w:jc w:val="center"/>
              <w:rPr>
                <w:rFonts w:ascii="宋体" w:hAnsi="宋体"/>
                <w:b/>
                <w:sz w:val="24"/>
                <w:szCs w:val="24"/>
              </w:rPr>
            </w:pPr>
            <w:r>
              <w:rPr>
                <w:rFonts w:hint="eastAsia" w:ascii="宋体" w:hAnsi="宋体"/>
                <w:b/>
                <w:sz w:val="24"/>
                <w:szCs w:val="24"/>
              </w:rPr>
              <w:t>占产品总资产的比例（%）</w:t>
            </w:r>
          </w:p>
        </w:tc>
      </w:tr>
      <w:tr w14:paraId="747A4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0554270">
            <w:pPr>
              <w:widowControl/>
              <w:jc w:val="center"/>
              <w:rPr>
                <w:rFonts w:ascii="宋体" w:hAnsi="宋体" w:cs="宋体"/>
                <w:color w:val="000000"/>
                <w:sz w:val="24"/>
                <w:szCs w:val="24"/>
              </w:rPr>
            </w:pPr>
            <w:r>
              <w:rPr>
                <w:rFonts w:hint="eastAsia" w:ascii="宋体" w:hAnsi="宋体" w:cs="宋体"/>
                <w:color w:val="000000"/>
                <w:sz w:val="24"/>
                <w:szCs w:val="24"/>
              </w:rPr>
              <w:t>1</w:t>
            </w:r>
          </w:p>
        </w:tc>
        <w:tc>
          <w:tcPr>
            <w:tcW w:w="1447" w:type="dxa"/>
            <w:tcBorders>
              <w:top w:val="nil"/>
              <w:left w:val="nil"/>
              <w:bottom w:val="single" w:color="auto" w:sz="4" w:space="0"/>
              <w:right w:val="single" w:color="auto" w:sz="4" w:space="0"/>
            </w:tcBorders>
            <w:shd w:val="clear" w:color="auto" w:fill="auto"/>
            <w:vAlign w:val="center"/>
          </w:tcPr>
          <w:p w14:paraId="49DD859E">
            <w:pPr>
              <w:widowControl/>
              <w:rPr>
                <w:rFonts w:ascii="宋体" w:hAnsi="宋体" w:cs="宋体"/>
                <w:color w:val="000000"/>
                <w:sz w:val="24"/>
                <w:szCs w:val="24"/>
              </w:rPr>
            </w:pPr>
            <w:r>
              <w:rPr>
                <w:rFonts w:hint="eastAsia" w:ascii="宋体" w:hAnsi="宋体" w:cs="宋体"/>
                <w:color w:val="000000"/>
                <w:sz w:val="24"/>
                <w:szCs w:val="24"/>
              </w:rPr>
              <w:t>权益投资</w:t>
            </w:r>
          </w:p>
        </w:tc>
        <w:tc>
          <w:tcPr>
            <w:tcW w:w="1697" w:type="dxa"/>
            <w:shd w:val="clear" w:color="auto" w:fill="auto"/>
            <w:vAlign w:val="center"/>
          </w:tcPr>
          <w:p w14:paraId="7BB6736B">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4D0BB35C">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15E41D74">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C79C0E1">
            <w:pPr>
              <w:jc w:val="right"/>
              <w:rPr>
                <w:rFonts w:ascii="宋体" w:hAnsi="宋体" w:cs="宋体"/>
                <w:color w:val="000000"/>
                <w:sz w:val="24"/>
                <w:szCs w:val="24"/>
              </w:rPr>
            </w:pPr>
            <w:r>
              <w:rPr>
                <w:rFonts w:ascii="宋体" w:hAnsi="宋体" w:cs="宋体"/>
                <w:color w:val="000000"/>
                <w:sz w:val="24"/>
                <w:szCs w:val="24"/>
              </w:rPr>
              <w:t>0.00</w:t>
            </w:r>
          </w:p>
        </w:tc>
      </w:tr>
      <w:tr w14:paraId="6AC02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80014D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19CA5A91">
            <w:pPr>
              <w:widowControl/>
              <w:rPr>
                <w:rFonts w:ascii="宋体" w:hAnsi="宋体" w:cs="宋体"/>
                <w:color w:val="000000"/>
                <w:sz w:val="24"/>
                <w:szCs w:val="24"/>
              </w:rPr>
            </w:pPr>
            <w:r>
              <w:rPr>
                <w:rFonts w:hint="eastAsia" w:ascii="宋体" w:hAnsi="宋体" w:cs="宋体"/>
                <w:color w:val="000000"/>
                <w:sz w:val="24"/>
                <w:szCs w:val="24"/>
              </w:rPr>
              <w:t>其中：普通股</w:t>
            </w:r>
          </w:p>
        </w:tc>
        <w:tc>
          <w:tcPr>
            <w:tcW w:w="1697" w:type="dxa"/>
            <w:shd w:val="clear" w:color="auto" w:fill="auto"/>
            <w:vAlign w:val="center"/>
          </w:tcPr>
          <w:p w14:paraId="5B018AC5">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54A58EF">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43A5DB5F">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8C87FB2">
            <w:pPr>
              <w:jc w:val="right"/>
              <w:rPr>
                <w:rFonts w:ascii="宋体" w:hAnsi="宋体" w:cs="宋体"/>
                <w:color w:val="000000"/>
                <w:sz w:val="24"/>
                <w:szCs w:val="24"/>
              </w:rPr>
            </w:pPr>
            <w:r>
              <w:rPr>
                <w:rFonts w:ascii="宋体" w:hAnsi="宋体" w:cs="宋体"/>
                <w:color w:val="000000"/>
                <w:sz w:val="24"/>
                <w:szCs w:val="24"/>
              </w:rPr>
              <w:t>0.00</w:t>
            </w:r>
          </w:p>
        </w:tc>
      </w:tr>
      <w:tr w14:paraId="4393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E2825F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35690AA">
            <w:pPr>
              <w:widowControl/>
              <w:rPr>
                <w:rFonts w:ascii="宋体" w:hAnsi="宋体" w:cs="宋体"/>
                <w:color w:val="000000"/>
                <w:sz w:val="24"/>
                <w:szCs w:val="24"/>
              </w:rPr>
            </w:pPr>
            <w:r>
              <w:rPr>
                <w:rFonts w:hint="eastAsia" w:ascii="宋体" w:hAnsi="宋体" w:cs="宋体"/>
                <w:color w:val="000000"/>
                <w:sz w:val="24"/>
                <w:szCs w:val="24"/>
              </w:rPr>
              <w:t xml:space="preserve">   存托凭证</w:t>
            </w:r>
          </w:p>
        </w:tc>
        <w:tc>
          <w:tcPr>
            <w:tcW w:w="1697" w:type="dxa"/>
            <w:shd w:val="clear" w:color="auto" w:fill="auto"/>
            <w:vAlign w:val="center"/>
          </w:tcPr>
          <w:p w14:paraId="2FE0569A">
            <w:pPr>
              <w:jc w:val="right"/>
              <w:rPr>
                <w:rFonts w:ascii="宋体" w:hAnsi="宋体" w:cs="宋体"/>
                <w:color w:val="000000"/>
                <w:sz w:val="24"/>
                <w:szCs w:val="24"/>
              </w:rPr>
            </w:pPr>
          </w:p>
        </w:tc>
        <w:tc>
          <w:tcPr>
            <w:tcW w:w="1749" w:type="dxa"/>
            <w:shd w:val="clear" w:color="auto" w:fill="auto"/>
            <w:vAlign w:val="center"/>
          </w:tcPr>
          <w:p w14:paraId="24369BA8">
            <w:pPr>
              <w:jc w:val="right"/>
              <w:rPr>
                <w:rFonts w:ascii="宋体" w:hAnsi="宋体" w:cs="宋体"/>
                <w:color w:val="000000"/>
                <w:sz w:val="24"/>
                <w:szCs w:val="24"/>
              </w:rPr>
            </w:pPr>
          </w:p>
        </w:tc>
        <w:tc>
          <w:tcPr>
            <w:tcW w:w="1653" w:type="dxa"/>
            <w:vAlign w:val="center"/>
          </w:tcPr>
          <w:p w14:paraId="6920E5B0">
            <w:pPr>
              <w:jc w:val="right"/>
              <w:rPr>
                <w:rFonts w:ascii="宋体" w:hAnsi="宋体" w:cs="宋体"/>
                <w:color w:val="000000"/>
                <w:sz w:val="24"/>
                <w:szCs w:val="24"/>
              </w:rPr>
            </w:pPr>
          </w:p>
        </w:tc>
        <w:tc>
          <w:tcPr>
            <w:tcW w:w="1705" w:type="dxa"/>
            <w:vAlign w:val="center"/>
          </w:tcPr>
          <w:p w14:paraId="2846506F">
            <w:pPr>
              <w:jc w:val="right"/>
              <w:rPr>
                <w:rFonts w:ascii="宋体" w:hAnsi="宋体" w:cs="宋体"/>
                <w:color w:val="000000"/>
                <w:sz w:val="24"/>
                <w:szCs w:val="24"/>
              </w:rPr>
            </w:pPr>
          </w:p>
        </w:tc>
      </w:tr>
      <w:tr w14:paraId="76DED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E816BE">
            <w:pPr>
              <w:widowControl/>
              <w:jc w:val="center"/>
              <w:rPr>
                <w:rFonts w:ascii="宋体" w:hAnsi="宋体" w:cs="宋体"/>
                <w:color w:val="000000"/>
                <w:sz w:val="24"/>
                <w:szCs w:val="24"/>
              </w:rPr>
            </w:pPr>
            <w:r>
              <w:rPr>
                <w:rFonts w:hint="eastAsia" w:ascii="宋体" w:hAnsi="宋体" w:cs="宋体"/>
                <w:color w:val="000000"/>
                <w:sz w:val="24"/>
                <w:szCs w:val="24"/>
              </w:rPr>
              <w:t>2</w:t>
            </w:r>
          </w:p>
        </w:tc>
        <w:tc>
          <w:tcPr>
            <w:tcW w:w="1447" w:type="dxa"/>
            <w:tcBorders>
              <w:top w:val="nil"/>
              <w:left w:val="nil"/>
              <w:bottom w:val="single" w:color="auto" w:sz="4" w:space="0"/>
              <w:right w:val="single" w:color="auto" w:sz="4" w:space="0"/>
            </w:tcBorders>
            <w:shd w:val="clear" w:color="auto" w:fill="auto"/>
            <w:vAlign w:val="center"/>
          </w:tcPr>
          <w:p w14:paraId="13EEB144">
            <w:pPr>
              <w:widowControl/>
              <w:rPr>
                <w:rFonts w:ascii="宋体" w:hAnsi="宋体" w:cs="宋体"/>
                <w:color w:val="000000"/>
                <w:sz w:val="24"/>
                <w:szCs w:val="24"/>
              </w:rPr>
            </w:pPr>
            <w:r>
              <w:rPr>
                <w:rFonts w:hint="eastAsia" w:ascii="宋体" w:hAnsi="宋体" w:cs="宋体"/>
                <w:color w:val="000000"/>
                <w:sz w:val="24"/>
                <w:szCs w:val="24"/>
              </w:rPr>
              <w:t>基金投资</w:t>
            </w:r>
          </w:p>
        </w:tc>
        <w:tc>
          <w:tcPr>
            <w:tcW w:w="1697" w:type="dxa"/>
            <w:shd w:val="clear" w:color="auto" w:fill="auto"/>
            <w:vAlign w:val="center"/>
          </w:tcPr>
          <w:p w14:paraId="5925458A">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8692839">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84093EB">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183DA0D">
            <w:pPr>
              <w:jc w:val="right"/>
              <w:rPr>
                <w:rFonts w:ascii="宋体" w:hAnsi="宋体" w:cs="宋体"/>
                <w:color w:val="000000"/>
                <w:sz w:val="24"/>
                <w:szCs w:val="24"/>
              </w:rPr>
            </w:pPr>
            <w:r>
              <w:rPr>
                <w:rFonts w:ascii="宋体" w:hAnsi="宋体" w:cs="宋体"/>
                <w:color w:val="000000"/>
                <w:sz w:val="24"/>
                <w:szCs w:val="24"/>
              </w:rPr>
              <w:t>0.00</w:t>
            </w:r>
          </w:p>
        </w:tc>
      </w:tr>
      <w:tr w14:paraId="7174D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7ADEF1B">
            <w:pPr>
              <w:widowControl/>
              <w:jc w:val="center"/>
              <w:rPr>
                <w:rFonts w:ascii="宋体" w:hAnsi="宋体" w:cs="宋体"/>
                <w:color w:val="000000"/>
                <w:sz w:val="24"/>
                <w:szCs w:val="24"/>
              </w:rPr>
            </w:pPr>
            <w:r>
              <w:rPr>
                <w:rFonts w:hint="eastAsia" w:ascii="宋体" w:hAnsi="宋体" w:cs="宋体"/>
                <w:color w:val="000000"/>
                <w:sz w:val="24"/>
                <w:szCs w:val="24"/>
              </w:rPr>
              <w:t>3</w:t>
            </w:r>
          </w:p>
        </w:tc>
        <w:tc>
          <w:tcPr>
            <w:tcW w:w="1447" w:type="dxa"/>
            <w:tcBorders>
              <w:top w:val="nil"/>
              <w:left w:val="nil"/>
              <w:bottom w:val="single" w:color="auto" w:sz="4" w:space="0"/>
              <w:right w:val="single" w:color="auto" w:sz="4" w:space="0"/>
            </w:tcBorders>
            <w:shd w:val="clear" w:color="auto" w:fill="auto"/>
            <w:vAlign w:val="center"/>
          </w:tcPr>
          <w:p w14:paraId="05F8773F">
            <w:pPr>
              <w:widowControl/>
              <w:rPr>
                <w:rFonts w:ascii="宋体" w:hAnsi="宋体" w:cs="宋体"/>
                <w:color w:val="000000"/>
                <w:sz w:val="24"/>
                <w:szCs w:val="24"/>
              </w:rPr>
            </w:pPr>
            <w:r>
              <w:rPr>
                <w:rFonts w:hint="eastAsia" w:ascii="宋体" w:hAnsi="宋体" w:cs="宋体"/>
                <w:color w:val="000000"/>
                <w:sz w:val="24"/>
                <w:szCs w:val="24"/>
              </w:rPr>
              <w:t>固定收益投资</w:t>
            </w:r>
          </w:p>
        </w:tc>
        <w:tc>
          <w:tcPr>
            <w:tcW w:w="1697" w:type="dxa"/>
            <w:shd w:val="clear" w:color="auto" w:fill="auto"/>
            <w:vAlign w:val="center"/>
          </w:tcPr>
          <w:p w14:paraId="69FFE616">
            <w:pPr>
              <w:jc w:val="right"/>
              <w:rPr>
                <w:rFonts w:ascii="宋体" w:hAnsi="宋体" w:cs="宋体"/>
                <w:color w:val="000000"/>
                <w:sz w:val="24"/>
                <w:szCs w:val="24"/>
              </w:rPr>
            </w:pPr>
            <w:r>
              <w:rPr>
                <w:rFonts w:ascii="宋体" w:hAnsi="宋体" w:cs="宋体"/>
                <w:color w:val="000000"/>
                <w:sz w:val="24"/>
                <w:szCs w:val="24"/>
              </w:rPr>
              <w:t>363,224,542.19</w:t>
            </w:r>
          </w:p>
        </w:tc>
        <w:tc>
          <w:tcPr>
            <w:tcW w:w="1749" w:type="dxa"/>
            <w:shd w:val="clear" w:color="auto" w:fill="auto"/>
            <w:vAlign w:val="center"/>
          </w:tcPr>
          <w:p w14:paraId="32E0C0C1">
            <w:pPr>
              <w:jc w:val="right"/>
              <w:rPr>
                <w:rFonts w:ascii="宋体" w:hAnsi="宋体" w:cs="宋体"/>
                <w:color w:val="000000"/>
                <w:sz w:val="24"/>
                <w:szCs w:val="24"/>
              </w:rPr>
            </w:pPr>
            <w:r>
              <w:rPr>
                <w:rFonts w:ascii="宋体" w:hAnsi="宋体" w:cs="宋体"/>
                <w:color w:val="000000"/>
                <w:sz w:val="24"/>
                <w:szCs w:val="24"/>
              </w:rPr>
              <w:t>91.38</w:t>
            </w:r>
          </w:p>
        </w:tc>
        <w:tc>
          <w:tcPr>
            <w:tcW w:w="1653" w:type="dxa"/>
            <w:vAlign w:val="center"/>
          </w:tcPr>
          <w:p w14:paraId="53633025">
            <w:pPr>
              <w:jc w:val="right"/>
              <w:rPr>
                <w:rFonts w:ascii="宋体" w:hAnsi="宋体" w:cs="宋体"/>
                <w:color w:val="000000"/>
                <w:sz w:val="24"/>
                <w:szCs w:val="24"/>
              </w:rPr>
            </w:pPr>
            <w:r>
              <w:rPr>
                <w:rFonts w:ascii="宋体" w:hAnsi="宋体" w:cs="宋体"/>
                <w:color w:val="000000"/>
                <w:sz w:val="24"/>
                <w:szCs w:val="24"/>
              </w:rPr>
              <w:t>32,611,412.67</w:t>
            </w:r>
          </w:p>
        </w:tc>
        <w:tc>
          <w:tcPr>
            <w:tcW w:w="1705" w:type="dxa"/>
            <w:vAlign w:val="center"/>
          </w:tcPr>
          <w:p w14:paraId="5C38E07B">
            <w:pPr>
              <w:jc w:val="right"/>
              <w:rPr>
                <w:rFonts w:ascii="宋体" w:hAnsi="宋体" w:cs="宋体"/>
                <w:color w:val="000000"/>
                <w:sz w:val="24"/>
                <w:szCs w:val="24"/>
              </w:rPr>
            </w:pPr>
            <w:r>
              <w:rPr>
                <w:rFonts w:ascii="宋体" w:hAnsi="宋体" w:cs="宋体"/>
                <w:color w:val="000000"/>
                <w:sz w:val="24"/>
                <w:szCs w:val="24"/>
              </w:rPr>
              <w:t>8.20</w:t>
            </w:r>
          </w:p>
        </w:tc>
      </w:tr>
      <w:tr w14:paraId="0F981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305C3A8">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nil"/>
              <w:right w:val="single" w:color="auto" w:sz="4" w:space="0"/>
            </w:tcBorders>
            <w:shd w:val="clear" w:color="auto" w:fill="auto"/>
            <w:vAlign w:val="center"/>
          </w:tcPr>
          <w:p w14:paraId="0D28BA68">
            <w:pPr>
              <w:widowControl/>
              <w:rPr>
                <w:rFonts w:ascii="宋体" w:hAnsi="宋体" w:cs="宋体"/>
                <w:color w:val="000000"/>
                <w:sz w:val="24"/>
                <w:szCs w:val="24"/>
              </w:rPr>
            </w:pPr>
            <w:r>
              <w:rPr>
                <w:rFonts w:hint="eastAsia" w:ascii="宋体" w:hAnsi="宋体" w:cs="宋体"/>
                <w:color w:val="000000"/>
                <w:sz w:val="24"/>
                <w:szCs w:val="24"/>
              </w:rPr>
              <w:t>其中：债券</w:t>
            </w:r>
          </w:p>
        </w:tc>
        <w:tc>
          <w:tcPr>
            <w:tcW w:w="1697" w:type="dxa"/>
            <w:shd w:val="clear" w:color="auto" w:fill="auto"/>
            <w:vAlign w:val="center"/>
          </w:tcPr>
          <w:p w14:paraId="13295B2D">
            <w:pPr>
              <w:jc w:val="right"/>
              <w:rPr>
                <w:rFonts w:ascii="宋体" w:hAnsi="宋体" w:cs="宋体"/>
                <w:color w:val="000000"/>
                <w:sz w:val="24"/>
                <w:szCs w:val="24"/>
              </w:rPr>
            </w:pPr>
            <w:r>
              <w:rPr>
                <w:rFonts w:ascii="宋体" w:hAnsi="宋体" w:cs="宋体"/>
                <w:color w:val="000000"/>
                <w:sz w:val="24"/>
                <w:szCs w:val="24"/>
              </w:rPr>
              <w:t>321,932,224.72</w:t>
            </w:r>
          </w:p>
        </w:tc>
        <w:tc>
          <w:tcPr>
            <w:tcW w:w="1749" w:type="dxa"/>
            <w:shd w:val="clear" w:color="auto" w:fill="auto"/>
            <w:vAlign w:val="center"/>
          </w:tcPr>
          <w:p w14:paraId="0458E144">
            <w:pPr>
              <w:jc w:val="right"/>
              <w:rPr>
                <w:rFonts w:ascii="宋体" w:hAnsi="宋体" w:cs="宋体"/>
                <w:color w:val="000000"/>
                <w:sz w:val="24"/>
                <w:szCs w:val="24"/>
              </w:rPr>
            </w:pPr>
            <w:r>
              <w:rPr>
                <w:rFonts w:ascii="宋体" w:hAnsi="宋体" w:cs="宋体"/>
                <w:color w:val="000000"/>
                <w:sz w:val="24"/>
                <w:szCs w:val="24"/>
              </w:rPr>
              <w:t>80.99</w:t>
            </w:r>
          </w:p>
        </w:tc>
        <w:tc>
          <w:tcPr>
            <w:tcW w:w="1653" w:type="dxa"/>
            <w:vAlign w:val="center"/>
          </w:tcPr>
          <w:p w14:paraId="6BD9EEE7">
            <w:pPr>
              <w:jc w:val="right"/>
              <w:rPr>
                <w:rFonts w:ascii="宋体" w:hAnsi="宋体" w:cs="宋体"/>
                <w:color w:val="000000"/>
                <w:sz w:val="24"/>
                <w:szCs w:val="24"/>
              </w:rPr>
            </w:pPr>
            <w:r>
              <w:rPr>
                <w:rFonts w:ascii="宋体" w:hAnsi="宋体" w:cs="宋体"/>
                <w:color w:val="000000"/>
                <w:sz w:val="24"/>
                <w:szCs w:val="24"/>
              </w:rPr>
              <w:t>32,611,412.67</w:t>
            </w:r>
          </w:p>
        </w:tc>
        <w:tc>
          <w:tcPr>
            <w:tcW w:w="1705" w:type="dxa"/>
            <w:vAlign w:val="center"/>
          </w:tcPr>
          <w:p w14:paraId="6602814A">
            <w:pPr>
              <w:jc w:val="right"/>
              <w:rPr>
                <w:rFonts w:ascii="宋体" w:hAnsi="宋体" w:cs="宋体"/>
                <w:color w:val="000000"/>
                <w:sz w:val="24"/>
                <w:szCs w:val="24"/>
              </w:rPr>
            </w:pPr>
            <w:r>
              <w:rPr>
                <w:rFonts w:ascii="宋体" w:hAnsi="宋体" w:cs="宋体"/>
                <w:color w:val="000000"/>
                <w:sz w:val="24"/>
                <w:szCs w:val="24"/>
              </w:rPr>
              <w:t>8.20</w:t>
            </w:r>
          </w:p>
        </w:tc>
      </w:tr>
      <w:tr w14:paraId="093B9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AC13D9A">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81F0E8C">
            <w:pPr>
              <w:widowControl/>
              <w:rPr>
                <w:rFonts w:ascii="宋体" w:hAnsi="宋体" w:cs="宋体"/>
                <w:color w:val="000000"/>
                <w:sz w:val="24"/>
                <w:szCs w:val="24"/>
              </w:rPr>
            </w:pPr>
            <w:r>
              <w:rPr>
                <w:rFonts w:hint="eastAsia" w:ascii="宋体" w:hAnsi="宋体" w:cs="宋体"/>
                <w:color w:val="000000"/>
                <w:sz w:val="24"/>
                <w:szCs w:val="24"/>
              </w:rPr>
              <w:t>资产支持证券</w:t>
            </w:r>
          </w:p>
        </w:tc>
        <w:tc>
          <w:tcPr>
            <w:tcW w:w="1697" w:type="dxa"/>
            <w:shd w:val="clear" w:color="auto" w:fill="auto"/>
            <w:vAlign w:val="center"/>
          </w:tcPr>
          <w:p w14:paraId="7CA141F6">
            <w:pPr>
              <w:jc w:val="right"/>
              <w:rPr>
                <w:rFonts w:ascii="宋体" w:hAnsi="宋体" w:cs="宋体"/>
                <w:color w:val="000000"/>
                <w:sz w:val="24"/>
                <w:szCs w:val="24"/>
              </w:rPr>
            </w:pPr>
            <w:r>
              <w:rPr>
                <w:rFonts w:ascii="宋体" w:hAnsi="宋体" w:cs="宋体"/>
                <w:color w:val="000000"/>
                <w:sz w:val="24"/>
                <w:szCs w:val="24"/>
              </w:rPr>
              <w:t>41,292,317.47</w:t>
            </w:r>
          </w:p>
        </w:tc>
        <w:tc>
          <w:tcPr>
            <w:tcW w:w="1749" w:type="dxa"/>
            <w:shd w:val="clear" w:color="auto" w:fill="auto"/>
            <w:vAlign w:val="center"/>
          </w:tcPr>
          <w:p w14:paraId="3907AD63">
            <w:pPr>
              <w:jc w:val="right"/>
              <w:rPr>
                <w:rFonts w:ascii="宋体" w:hAnsi="宋体" w:cs="宋体"/>
                <w:color w:val="000000"/>
                <w:sz w:val="24"/>
                <w:szCs w:val="24"/>
              </w:rPr>
            </w:pPr>
            <w:r>
              <w:rPr>
                <w:rFonts w:ascii="宋体" w:hAnsi="宋体" w:cs="宋体"/>
                <w:color w:val="000000"/>
                <w:sz w:val="24"/>
                <w:szCs w:val="24"/>
              </w:rPr>
              <w:t>10.39</w:t>
            </w:r>
          </w:p>
        </w:tc>
        <w:tc>
          <w:tcPr>
            <w:tcW w:w="1653" w:type="dxa"/>
            <w:vAlign w:val="center"/>
          </w:tcPr>
          <w:p w14:paraId="2076A255">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6D808472">
            <w:pPr>
              <w:jc w:val="right"/>
              <w:rPr>
                <w:rFonts w:ascii="宋体" w:hAnsi="宋体" w:cs="宋体"/>
                <w:color w:val="000000"/>
                <w:sz w:val="24"/>
                <w:szCs w:val="24"/>
              </w:rPr>
            </w:pPr>
            <w:r>
              <w:rPr>
                <w:rFonts w:ascii="宋体" w:hAnsi="宋体" w:cs="宋体"/>
                <w:color w:val="000000"/>
                <w:sz w:val="24"/>
                <w:szCs w:val="24"/>
              </w:rPr>
              <w:t>0.00</w:t>
            </w:r>
          </w:p>
        </w:tc>
      </w:tr>
      <w:tr w14:paraId="6D41D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33AB7EC">
            <w:pPr>
              <w:widowControl/>
              <w:jc w:val="center"/>
              <w:rPr>
                <w:rFonts w:ascii="宋体" w:hAnsi="宋体" w:cs="宋体"/>
                <w:color w:val="000000"/>
                <w:sz w:val="24"/>
                <w:szCs w:val="24"/>
              </w:rPr>
            </w:pPr>
            <w:r>
              <w:rPr>
                <w:rFonts w:hint="eastAsia" w:ascii="宋体" w:hAnsi="宋体" w:cs="宋体"/>
                <w:color w:val="000000"/>
                <w:sz w:val="24"/>
                <w:szCs w:val="24"/>
              </w:rPr>
              <w:t>4</w:t>
            </w:r>
          </w:p>
        </w:tc>
        <w:tc>
          <w:tcPr>
            <w:tcW w:w="1447" w:type="dxa"/>
            <w:tcBorders>
              <w:top w:val="nil"/>
              <w:left w:val="nil"/>
              <w:bottom w:val="single" w:color="auto" w:sz="4" w:space="0"/>
              <w:right w:val="single" w:color="auto" w:sz="4" w:space="0"/>
            </w:tcBorders>
            <w:shd w:val="clear" w:color="auto" w:fill="auto"/>
            <w:vAlign w:val="center"/>
          </w:tcPr>
          <w:p w14:paraId="0628387F">
            <w:pPr>
              <w:widowControl/>
              <w:rPr>
                <w:rFonts w:ascii="宋体" w:hAnsi="宋体" w:cs="宋体"/>
                <w:color w:val="000000"/>
                <w:sz w:val="24"/>
                <w:szCs w:val="24"/>
              </w:rPr>
            </w:pPr>
            <w:r>
              <w:rPr>
                <w:rFonts w:hint="eastAsia" w:ascii="宋体" w:hAnsi="宋体" w:cs="宋体"/>
                <w:color w:val="000000"/>
                <w:sz w:val="24"/>
                <w:szCs w:val="24"/>
              </w:rPr>
              <w:t>金融衍生品投资</w:t>
            </w:r>
          </w:p>
        </w:tc>
        <w:tc>
          <w:tcPr>
            <w:tcW w:w="1697" w:type="dxa"/>
            <w:shd w:val="clear" w:color="auto" w:fill="auto"/>
            <w:vAlign w:val="center"/>
          </w:tcPr>
          <w:p w14:paraId="26CE86A9">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1C569FF5">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6F5E50A">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3274CC7F">
            <w:pPr>
              <w:jc w:val="right"/>
              <w:rPr>
                <w:rFonts w:ascii="宋体" w:hAnsi="宋体" w:cs="宋体"/>
                <w:color w:val="000000"/>
                <w:sz w:val="24"/>
                <w:szCs w:val="24"/>
              </w:rPr>
            </w:pPr>
            <w:r>
              <w:rPr>
                <w:rFonts w:ascii="宋体" w:hAnsi="宋体" w:cs="宋体"/>
                <w:color w:val="000000"/>
                <w:sz w:val="24"/>
                <w:szCs w:val="24"/>
              </w:rPr>
              <w:t>0.00</w:t>
            </w:r>
          </w:p>
        </w:tc>
      </w:tr>
      <w:tr w14:paraId="22827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F74259">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45FC8A28">
            <w:pPr>
              <w:widowControl/>
              <w:rPr>
                <w:rFonts w:ascii="宋体" w:hAnsi="宋体" w:cs="宋体"/>
                <w:color w:val="000000"/>
                <w:sz w:val="24"/>
                <w:szCs w:val="24"/>
              </w:rPr>
            </w:pPr>
            <w:r>
              <w:rPr>
                <w:rFonts w:hint="eastAsia" w:ascii="宋体" w:hAnsi="宋体" w:cs="宋体"/>
                <w:color w:val="000000"/>
                <w:sz w:val="24"/>
                <w:szCs w:val="24"/>
              </w:rPr>
              <w:t>其中：远期</w:t>
            </w:r>
          </w:p>
        </w:tc>
        <w:tc>
          <w:tcPr>
            <w:tcW w:w="1697" w:type="dxa"/>
            <w:shd w:val="clear" w:color="auto" w:fill="auto"/>
            <w:vAlign w:val="center"/>
          </w:tcPr>
          <w:p w14:paraId="6FA1FF5A">
            <w:pPr>
              <w:jc w:val="right"/>
              <w:rPr>
                <w:rFonts w:ascii="宋体" w:hAnsi="宋体" w:cs="宋体"/>
                <w:color w:val="000000"/>
                <w:sz w:val="24"/>
                <w:szCs w:val="24"/>
              </w:rPr>
            </w:pPr>
          </w:p>
        </w:tc>
        <w:tc>
          <w:tcPr>
            <w:tcW w:w="1749" w:type="dxa"/>
            <w:shd w:val="clear" w:color="auto" w:fill="auto"/>
            <w:vAlign w:val="center"/>
          </w:tcPr>
          <w:p w14:paraId="3B7D25B3">
            <w:pPr>
              <w:jc w:val="right"/>
              <w:rPr>
                <w:rFonts w:ascii="宋体" w:hAnsi="宋体" w:cs="宋体"/>
                <w:color w:val="000000"/>
                <w:sz w:val="24"/>
                <w:szCs w:val="24"/>
              </w:rPr>
            </w:pPr>
          </w:p>
        </w:tc>
        <w:tc>
          <w:tcPr>
            <w:tcW w:w="1653" w:type="dxa"/>
            <w:vAlign w:val="center"/>
          </w:tcPr>
          <w:p w14:paraId="44E7BC5D">
            <w:pPr>
              <w:jc w:val="right"/>
              <w:rPr>
                <w:rFonts w:ascii="宋体" w:hAnsi="宋体" w:cs="宋体"/>
                <w:color w:val="000000"/>
                <w:sz w:val="24"/>
                <w:szCs w:val="24"/>
              </w:rPr>
            </w:pPr>
          </w:p>
        </w:tc>
        <w:tc>
          <w:tcPr>
            <w:tcW w:w="1705" w:type="dxa"/>
            <w:vAlign w:val="center"/>
          </w:tcPr>
          <w:p w14:paraId="78B6D7DC">
            <w:pPr>
              <w:jc w:val="right"/>
              <w:rPr>
                <w:rFonts w:ascii="宋体" w:hAnsi="宋体" w:cs="宋体"/>
                <w:color w:val="000000"/>
                <w:sz w:val="24"/>
                <w:szCs w:val="24"/>
              </w:rPr>
            </w:pPr>
          </w:p>
        </w:tc>
      </w:tr>
      <w:tr w14:paraId="48878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4541D4">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29B78D03">
            <w:pPr>
              <w:widowControl/>
              <w:rPr>
                <w:rFonts w:ascii="宋体" w:hAnsi="宋体" w:cs="宋体"/>
                <w:color w:val="000000"/>
                <w:sz w:val="24"/>
                <w:szCs w:val="24"/>
              </w:rPr>
            </w:pPr>
            <w:r>
              <w:rPr>
                <w:rFonts w:hint="eastAsia" w:ascii="宋体" w:hAnsi="宋体" w:cs="宋体"/>
                <w:color w:val="000000"/>
                <w:sz w:val="24"/>
                <w:szCs w:val="24"/>
              </w:rPr>
              <w:t xml:space="preserve">      期货</w:t>
            </w:r>
          </w:p>
        </w:tc>
        <w:tc>
          <w:tcPr>
            <w:tcW w:w="1697" w:type="dxa"/>
            <w:shd w:val="clear" w:color="auto" w:fill="auto"/>
            <w:vAlign w:val="center"/>
          </w:tcPr>
          <w:p w14:paraId="5DF79385">
            <w:pPr>
              <w:jc w:val="right"/>
              <w:rPr>
                <w:rFonts w:ascii="宋体" w:hAnsi="宋体" w:cs="宋体"/>
                <w:color w:val="000000"/>
                <w:sz w:val="24"/>
                <w:szCs w:val="24"/>
              </w:rPr>
            </w:pPr>
          </w:p>
        </w:tc>
        <w:tc>
          <w:tcPr>
            <w:tcW w:w="1749" w:type="dxa"/>
            <w:shd w:val="clear" w:color="auto" w:fill="auto"/>
            <w:vAlign w:val="center"/>
          </w:tcPr>
          <w:p w14:paraId="788F62ED">
            <w:pPr>
              <w:jc w:val="right"/>
              <w:rPr>
                <w:rFonts w:ascii="宋体" w:hAnsi="宋体" w:cs="宋体"/>
                <w:color w:val="000000"/>
                <w:sz w:val="24"/>
                <w:szCs w:val="24"/>
              </w:rPr>
            </w:pPr>
          </w:p>
        </w:tc>
        <w:tc>
          <w:tcPr>
            <w:tcW w:w="1653" w:type="dxa"/>
            <w:vAlign w:val="center"/>
          </w:tcPr>
          <w:p w14:paraId="3EAC27C2">
            <w:pPr>
              <w:jc w:val="right"/>
              <w:rPr>
                <w:rFonts w:ascii="宋体" w:hAnsi="宋体" w:cs="宋体"/>
                <w:color w:val="000000"/>
                <w:sz w:val="24"/>
                <w:szCs w:val="24"/>
              </w:rPr>
            </w:pPr>
          </w:p>
        </w:tc>
        <w:tc>
          <w:tcPr>
            <w:tcW w:w="1705" w:type="dxa"/>
            <w:vAlign w:val="center"/>
          </w:tcPr>
          <w:p w14:paraId="22F5E285">
            <w:pPr>
              <w:jc w:val="right"/>
              <w:rPr>
                <w:rFonts w:ascii="宋体" w:hAnsi="宋体" w:cs="宋体"/>
                <w:color w:val="000000"/>
                <w:sz w:val="24"/>
                <w:szCs w:val="24"/>
              </w:rPr>
            </w:pPr>
          </w:p>
        </w:tc>
      </w:tr>
      <w:tr w14:paraId="432CF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C9E6B8D">
            <w:pPr>
              <w:widowControl/>
              <w:jc w:val="center"/>
              <w:rPr>
                <w:rFonts w:ascii="宋体" w:hAnsi="宋体" w:cs="宋体"/>
                <w:color w:val="000000"/>
                <w:sz w:val="24"/>
                <w:szCs w:val="24"/>
              </w:rPr>
            </w:pPr>
            <w:r>
              <w:rPr>
                <w:rFonts w:hint="eastAsia" w:ascii="宋体" w:hAnsi="宋体" w:cs="宋体"/>
                <w:color w:val="000000"/>
                <w:sz w:val="24"/>
                <w:szCs w:val="24"/>
              </w:rPr>
              <w:t xml:space="preserve"> </w:t>
            </w:r>
          </w:p>
        </w:tc>
        <w:tc>
          <w:tcPr>
            <w:tcW w:w="1447" w:type="dxa"/>
            <w:tcBorders>
              <w:top w:val="nil"/>
              <w:left w:val="nil"/>
              <w:bottom w:val="single" w:color="auto" w:sz="4" w:space="0"/>
              <w:right w:val="single" w:color="auto" w:sz="4" w:space="0"/>
            </w:tcBorders>
            <w:shd w:val="clear" w:color="auto" w:fill="auto"/>
            <w:vAlign w:val="center"/>
          </w:tcPr>
          <w:p w14:paraId="3AA61036">
            <w:pPr>
              <w:widowControl/>
              <w:rPr>
                <w:rFonts w:ascii="宋体" w:hAnsi="宋体" w:cs="宋体"/>
                <w:color w:val="000000"/>
                <w:sz w:val="24"/>
                <w:szCs w:val="24"/>
              </w:rPr>
            </w:pPr>
            <w:r>
              <w:rPr>
                <w:rFonts w:hint="eastAsia" w:ascii="宋体" w:hAnsi="宋体" w:cs="宋体"/>
                <w:color w:val="000000"/>
                <w:sz w:val="24"/>
                <w:szCs w:val="24"/>
              </w:rPr>
              <w:t xml:space="preserve">      期权</w:t>
            </w:r>
          </w:p>
        </w:tc>
        <w:tc>
          <w:tcPr>
            <w:tcW w:w="1697" w:type="dxa"/>
            <w:shd w:val="clear" w:color="auto" w:fill="auto"/>
            <w:vAlign w:val="center"/>
          </w:tcPr>
          <w:p w14:paraId="38BF2FE5">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583E18D3">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67B800B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E0D1A0D">
            <w:pPr>
              <w:jc w:val="right"/>
              <w:rPr>
                <w:rFonts w:ascii="宋体" w:hAnsi="宋体" w:cs="宋体"/>
                <w:color w:val="000000"/>
                <w:sz w:val="24"/>
                <w:szCs w:val="24"/>
              </w:rPr>
            </w:pPr>
            <w:r>
              <w:rPr>
                <w:rFonts w:ascii="宋体" w:hAnsi="宋体" w:cs="宋体"/>
                <w:color w:val="000000"/>
                <w:sz w:val="24"/>
                <w:szCs w:val="24"/>
              </w:rPr>
              <w:t>0.00</w:t>
            </w:r>
          </w:p>
        </w:tc>
      </w:tr>
      <w:tr w14:paraId="654C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1E1B7C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475C4D65">
            <w:pPr>
              <w:widowControl/>
              <w:rPr>
                <w:rFonts w:ascii="宋体" w:hAnsi="宋体" w:cs="宋体"/>
                <w:color w:val="000000"/>
                <w:sz w:val="24"/>
                <w:szCs w:val="24"/>
              </w:rPr>
            </w:pPr>
            <w:r>
              <w:rPr>
                <w:rFonts w:hint="eastAsia" w:ascii="宋体" w:hAnsi="宋体" w:cs="宋体"/>
                <w:color w:val="000000"/>
                <w:sz w:val="24"/>
                <w:szCs w:val="24"/>
              </w:rPr>
              <w:t xml:space="preserve">      权证</w:t>
            </w:r>
          </w:p>
        </w:tc>
        <w:tc>
          <w:tcPr>
            <w:tcW w:w="1697" w:type="dxa"/>
            <w:shd w:val="clear" w:color="auto" w:fill="auto"/>
            <w:vAlign w:val="center"/>
          </w:tcPr>
          <w:p w14:paraId="70A88FF5">
            <w:pPr>
              <w:jc w:val="right"/>
              <w:rPr>
                <w:rFonts w:ascii="宋体" w:hAnsi="宋体" w:cs="宋体"/>
                <w:color w:val="000000"/>
                <w:sz w:val="24"/>
                <w:szCs w:val="24"/>
              </w:rPr>
            </w:pPr>
          </w:p>
        </w:tc>
        <w:tc>
          <w:tcPr>
            <w:tcW w:w="1749" w:type="dxa"/>
            <w:shd w:val="clear" w:color="auto" w:fill="auto"/>
            <w:vAlign w:val="center"/>
          </w:tcPr>
          <w:p w14:paraId="6BDDAF10">
            <w:pPr>
              <w:jc w:val="right"/>
              <w:rPr>
                <w:rFonts w:ascii="宋体" w:hAnsi="宋体" w:cs="宋体"/>
                <w:color w:val="000000"/>
                <w:sz w:val="24"/>
                <w:szCs w:val="24"/>
              </w:rPr>
            </w:pPr>
          </w:p>
        </w:tc>
        <w:tc>
          <w:tcPr>
            <w:tcW w:w="1653" w:type="dxa"/>
            <w:vAlign w:val="center"/>
          </w:tcPr>
          <w:p w14:paraId="1DC46608">
            <w:pPr>
              <w:jc w:val="right"/>
              <w:rPr>
                <w:rFonts w:ascii="宋体" w:hAnsi="宋体" w:cs="宋体"/>
                <w:color w:val="000000"/>
                <w:sz w:val="24"/>
                <w:szCs w:val="24"/>
              </w:rPr>
            </w:pPr>
          </w:p>
        </w:tc>
        <w:tc>
          <w:tcPr>
            <w:tcW w:w="1705" w:type="dxa"/>
            <w:vAlign w:val="center"/>
          </w:tcPr>
          <w:p w14:paraId="35FFB065">
            <w:pPr>
              <w:jc w:val="right"/>
              <w:rPr>
                <w:rFonts w:ascii="宋体" w:hAnsi="宋体" w:cs="宋体"/>
                <w:color w:val="000000"/>
                <w:sz w:val="24"/>
                <w:szCs w:val="24"/>
              </w:rPr>
            </w:pPr>
          </w:p>
        </w:tc>
      </w:tr>
      <w:tr w14:paraId="1203F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ADBD93">
            <w:pPr>
              <w:widowControl/>
              <w:jc w:val="center"/>
              <w:rPr>
                <w:rFonts w:ascii="宋体" w:hAnsi="宋体" w:cs="宋体"/>
                <w:color w:val="000000"/>
                <w:sz w:val="24"/>
                <w:szCs w:val="24"/>
              </w:rPr>
            </w:pPr>
            <w:r>
              <w:rPr>
                <w:rFonts w:hint="eastAsia" w:ascii="宋体" w:hAnsi="宋体" w:cs="宋体"/>
                <w:color w:val="000000"/>
                <w:sz w:val="24"/>
                <w:szCs w:val="24"/>
              </w:rPr>
              <w:t>5</w:t>
            </w:r>
          </w:p>
        </w:tc>
        <w:tc>
          <w:tcPr>
            <w:tcW w:w="1447" w:type="dxa"/>
            <w:tcBorders>
              <w:top w:val="nil"/>
              <w:left w:val="nil"/>
              <w:bottom w:val="single" w:color="auto" w:sz="4" w:space="0"/>
              <w:right w:val="single" w:color="auto" w:sz="4" w:space="0"/>
            </w:tcBorders>
            <w:shd w:val="clear" w:color="auto" w:fill="auto"/>
            <w:vAlign w:val="center"/>
          </w:tcPr>
          <w:p w14:paraId="2A167761">
            <w:pPr>
              <w:widowControl/>
              <w:rPr>
                <w:rFonts w:ascii="宋体" w:hAnsi="宋体" w:cs="宋体"/>
                <w:color w:val="000000"/>
                <w:sz w:val="24"/>
                <w:szCs w:val="24"/>
              </w:rPr>
            </w:pPr>
            <w:r>
              <w:rPr>
                <w:rFonts w:hint="eastAsia" w:ascii="宋体" w:hAnsi="宋体" w:cs="宋体"/>
                <w:color w:val="000000"/>
                <w:sz w:val="24"/>
                <w:szCs w:val="24"/>
              </w:rPr>
              <w:t>买入返售金融资产</w:t>
            </w:r>
          </w:p>
        </w:tc>
        <w:tc>
          <w:tcPr>
            <w:tcW w:w="1697" w:type="dxa"/>
            <w:shd w:val="clear" w:color="auto" w:fill="auto"/>
            <w:vAlign w:val="center"/>
          </w:tcPr>
          <w:p w14:paraId="38755399">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65EDABB9">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7353A2D7">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5E8976CB">
            <w:pPr>
              <w:jc w:val="right"/>
              <w:rPr>
                <w:rFonts w:ascii="宋体" w:hAnsi="宋体" w:cs="宋体"/>
                <w:color w:val="000000"/>
                <w:sz w:val="24"/>
                <w:szCs w:val="24"/>
              </w:rPr>
            </w:pPr>
            <w:r>
              <w:rPr>
                <w:rFonts w:ascii="宋体" w:hAnsi="宋体" w:cs="宋体"/>
                <w:color w:val="000000"/>
                <w:sz w:val="24"/>
                <w:szCs w:val="24"/>
              </w:rPr>
              <w:t>0.00</w:t>
            </w:r>
          </w:p>
        </w:tc>
      </w:tr>
      <w:tr w14:paraId="3490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A3F82D">
            <w:pPr>
              <w:widowControl/>
              <w:jc w:val="center"/>
              <w:rPr>
                <w:rFonts w:ascii="宋体" w:hAnsi="宋体" w:cs="宋体"/>
                <w:color w:val="000000"/>
                <w:sz w:val="24"/>
                <w:szCs w:val="24"/>
              </w:rPr>
            </w:pPr>
            <w:r>
              <w:rPr>
                <w:rFonts w:hint="eastAsia" w:ascii="宋体" w:hAnsi="宋体" w:cs="宋体"/>
                <w:color w:val="000000"/>
                <w:sz w:val="24"/>
                <w:szCs w:val="24"/>
              </w:rPr>
              <w:t>　</w:t>
            </w:r>
          </w:p>
        </w:tc>
        <w:tc>
          <w:tcPr>
            <w:tcW w:w="1447" w:type="dxa"/>
            <w:tcBorders>
              <w:top w:val="nil"/>
              <w:left w:val="nil"/>
              <w:bottom w:val="single" w:color="auto" w:sz="4" w:space="0"/>
              <w:right w:val="single" w:color="auto" w:sz="4" w:space="0"/>
            </w:tcBorders>
            <w:shd w:val="clear" w:color="auto" w:fill="auto"/>
            <w:vAlign w:val="center"/>
          </w:tcPr>
          <w:p w14:paraId="363EB79D">
            <w:pPr>
              <w:widowControl/>
              <w:rPr>
                <w:rFonts w:ascii="宋体" w:hAnsi="宋体" w:cs="宋体"/>
                <w:color w:val="000000"/>
                <w:sz w:val="24"/>
                <w:szCs w:val="24"/>
              </w:rPr>
            </w:pPr>
            <w:r>
              <w:rPr>
                <w:rFonts w:hint="eastAsia" w:ascii="宋体" w:hAnsi="宋体" w:cs="宋体"/>
                <w:color w:val="000000"/>
                <w:sz w:val="24"/>
                <w:szCs w:val="24"/>
              </w:rPr>
              <w:t>其中：买断式回购的买入返售金融资产</w:t>
            </w:r>
          </w:p>
        </w:tc>
        <w:tc>
          <w:tcPr>
            <w:tcW w:w="1697" w:type="dxa"/>
            <w:shd w:val="clear" w:color="auto" w:fill="auto"/>
            <w:vAlign w:val="center"/>
          </w:tcPr>
          <w:p w14:paraId="63D80B5E">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0547CBB3">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E13F63C">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5EE1F33">
            <w:pPr>
              <w:jc w:val="right"/>
              <w:rPr>
                <w:rFonts w:ascii="宋体" w:hAnsi="宋体" w:cs="宋体"/>
                <w:color w:val="000000"/>
                <w:sz w:val="24"/>
                <w:szCs w:val="24"/>
              </w:rPr>
            </w:pPr>
            <w:r>
              <w:rPr>
                <w:rFonts w:ascii="宋体" w:hAnsi="宋体" w:cs="宋体"/>
                <w:color w:val="000000"/>
                <w:sz w:val="24"/>
                <w:szCs w:val="24"/>
              </w:rPr>
              <w:t>0.00</w:t>
            </w:r>
          </w:p>
        </w:tc>
      </w:tr>
      <w:tr w14:paraId="176AA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C14DDC">
            <w:pPr>
              <w:widowControl/>
              <w:jc w:val="center"/>
              <w:rPr>
                <w:rFonts w:ascii="宋体" w:hAnsi="宋体" w:cs="宋体"/>
                <w:color w:val="000000"/>
                <w:sz w:val="24"/>
                <w:szCs w:val="24"/>
              </w:rPr>
            </w:pPr>
            <w:r>
              <w:rPr>
                <w:rFonts w:hint="eastAsia" w:ascii="宋体" w:hAnsi="宋体" w:cs="宋体"/>
                <w:color w:val="000000"/>
                <w:sz w:val="24"/>
                <w:szCs w:val="24"/>
              </w:rPr>
              <w:t>6</w:t>
            </w:r>
          </w:p>
        </w:tc>
        <w:tc>
          <w:tcPr>
            <w:tcW w:w="1447" w:type="dxa"/>
            <w:tcBorders>
              <w:top w:val="nil"/>
              <w:left w:val="nil"/>
              <w:bottom w:val="single" w:color="auto" w:sz="4" w:space="0"/>
              <w:right w:val="single" w:color="auto" w:sz="4" w:space="0"/>
            </w:tcBorders>
            <w:shd w:val="clear" w:color="auto" w:fill="auto"/>
            <w:vAlign w:val="center"/>
          </w:tcPr>
          <w:p w14:paraId="04C90F7C">
            <w:pPr>
              <w:widowControl/>
              <w:rPr>
                <w:rFonts w:ascii="宋体" w:hAnsi="宋体" w:cs="宋体"/>
                <w:color w:val="000000"/>
                <w:sz w:val="24"/>
                <w:szCs w:val="24"/>
              </w:rPr>
            </w:pPr>
            <w:r>
              <w:rPr>
                <w:rFonts w:hint="eastAsia" w:ascii="宋体" w:hAnsi="宋体" w:cs="宋体"/>
                <w:color w:val="000000"/>
                <w:sz w:val="24"/>
                <w:szCs w:val="24"/>
              </w:rPr>
              <w:t>货币市场工具</w:t>
            </w:r>
          </w:p>
        </w:tc>
        <w:tc>
          <w:tcPr>
            <w:tcW w:w="1697" w:type="dxa"/>
            <w:shd w:val="clear" w:color="auto" w:fill="auto"/>
            <w:vAlign w:val="center"/>
          </w:tcPr>
          <w:p w14:paraId="7AD581A1">
            <w:pPr>
              <w:jc w:val="right"/>
              <w:rPr>
                <w:rFonts w:ascii="宋体" w:hAnsi="宋体" w:cs="宋体"/>
                <w:color w:val="000000"/>
                <w:sz w:val="24"/>
                <w:szCs w:val="24"/>
              </w:rPr>
            </w:pPr>
          </w:p>
        </w:tc>
        <w:tc>
          <w:tcPr>
            <w:tcW w:w="1749" w:type="dxa"/>
            <w:shd w:val="clear" w:color="auto" w:fill="auto"/>
            <w:vAlign w:val="center"/>
          </w:tcPr>
          <w:p w14:paraId="3A334DB9">
            <w:pPr>
              <w:jc w:val="right"/>
              <w:rPr>
                <w:rFonts w:ascii="宋体" w:hAnsi="宋体" w:cs="宋体"/>
                <w:color w:val="000000"/>
                <w:sz w:val="24"/>
                <w:szCs w:val="24"/>
              </w:rPr>
            </w:pPr>
          </w:p>
        </w:tc>
        <w:tc>
          <w:tcPr>
            <w:tcW w:w="1653" w:type="dxa"/>
            <w:vAlign w:val="center"/>
          </w:tcPr>
          <w:p w14:paraId="13F55825">
            <w:pPr>
              <w:jc w:val="right"/>
              <w:rPr>
                <w:rFonts w:ascii="宋体" w:hAnsi="宋体" w:cs="宋体"/>
                <w:color w:val="000000"/>
                <w:sz w:val="24"/>
                <w:szCs w:val="24"/>
              </w:rPr>
            </w:pPr>
          </w:p>
        </w:tc>
        <w:tc>
          <w:tcPr>
            <w:tcW w:w="1705" w:type="dxa"/>
            <w:vAlign w:val="center"/>
          </w:tcPr>
          <w:p w14:paraId="07C361A8">
            <w:pPr>
              <w:jc w:val="right"/>
              <w:rPr>
                <w:rFonts w:ascii="宋体" w:hAnsi="宋体" w:cs="宋体"/>
                <w:color w:val="000000"/>
                <w:sz w:val="24"/>
                <w:szCs w:val="24"/>
              </w:rPr>
            </w:pPr>
          </w:p>
        </w:tc>
      </w:tr>
      <w:tr w14:paraId="7093E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4EAD02">
            <w:pPr>
              <w:widowControl/>
              <w:jc w:val="center"/>
              <w:rPr>
                <w:rFonts w:ascii="宋体" w:hAnsi="宋体" w:cs="宋体"/>
                <w:color w:val="000000"/>
                <w:sz w:val="24"/>
                <w:szCs w:val="24"/>
              </w:rPr>
            </w:pPr>
            <w:r>
              <w:rPr>
                <w:rFonts w:hint="eastAsia" w:ascii="宋体" w:hAnsi="宋体" w:cs="宋体"/>
                <w:color w:val="000000"/>
                <w:sz w:val="24"/>
                <w:szCs w:val="24"/>
              </w:rPr>
              <w:t>7</w:t>
            </w:r>
          </w:p>
        </w:tc>
        <w:tc>
          <w:tcPr>
            <w:tcW w:w="1447" w:type="dxa"/>
            <w:tcBorders>
              <w:top w:val="nil"/>
              <w:left w:val="nil"/>
              <w:bottom w:val="single" w:color="auto" w:sz="4" w:space="0"/>
              <w:right w:val="single" w:color="auto" w:sz="4" w:space="0"/>
            </w:tcBorders>
            <w:shd w:val="clear" w:color="auto" w:fill="auto"/>
            <w:vAlign w:val="center"/>
          </w:tcPr>
          <w:p w14:paraId="1F3EB418">
            <w:pPr>
              <w:widowControl/>
              <w:rPr>
                <w:rFonts w:ascii="宋体" w:hAnsi="宋体" w:cs="宋体"/>
                <w:color w:val="000000"/>
                <w:sz w:val="24"/>
                <w:szCs w:val="24"/>
              </w:rPr>
            </w:pPr>
            <w:r>
              <w:rPr>
                <w:rFonts w:hint="eastAsia" w:ascii="宋体" w:hAnsi="宋体" w:cs="宋体"/>
                <w:color w:val="000000"/>
                <w:sz w:val="24"/>
                <w:szCs w:val="24"/>
              </w:rPr>
              <w:t>银行存款和结算备付金合计</w:t>
            </w:r>
          </w:p>
        </w:tc>
        <w:tc>
          <w:tcPr>
            <w:tcW w:w="1697" w:type="dxa"/>
            <w:shd w:val="clear" w:color="auto" w:fill="auto"/>
            <w:vAlign w:val="center"/>
          </w:tcPr>
          <w:p w14:paraId="79B8B912">
            <w:pPr>
              <w:jc w:val="right"/>
              <w:rPr>
                <w:rFonts w:ascii="宋体" w:hAnsi="宋体" w:cs="宋体"/>
                <w:color w:val="000000"/>
                <w:sz w:val="24"/>
                <w:szCs w:val="24"/>
              </w:rPr>
            </w:pPr>
            <w:r>
              <w:rPr>
                <w:rFonts w:ascii="宋体" w:hAnsi="宋体" w:cs="宋体"/>
                <w:color w:val="000000"/>
                <w:sz w:val="24"/>
                <w:szCs w:val="24"/>
              </w:rPr>
              <w:t>3,712,667.73</w:t>
            </w:r>
          </w:p>
        </w:tc>
        <w:tc>
          <w:tcPr>
            <w:tcW w:w="1749" w:type="dxa"/>
            <w:shd w:val="clear" w:color="auto" w:fill="auto"/>
            <w:vAlign w:val="center"/>
          </w:tcPr>
          <w:p w14:paraId="53A479BD">
            <w:pPr>
              <w:jc w:val="right"/>
              <w:rPr>
                <w:rFonts w:ascii="宋体" w:hAnsi="宋体" w:cs="宋体"/>
                <w:color w:val="000000"/>
                <w:sz w:val="24"/>
                <w:szCs w:val="24"/>
              </w:rPr>
            </w:pPr>
            <w:r>
              <w:rPr>
                <w:rFonts w:ascii="宋体" w:hAnsi="宋体" w:cs="宋体"/>
                <w:color w:val="000000"/>
                <w:sz w:val="24"/>
                <w:szCs w:val="24"/>
              </w:rPr>
              <w:t>0.93</w:t>
            </w:r>
          </w:p>
        </w:tc>
        <w:tc>
          <w:tcPr>
            <w:tcW w:w="1653" w:type="dxa"/>
            <w:vAlign w:val="center"/>
          </w:tcPr>
          <w:p w14:paraId="1FF4116D">
            <w:pPr>
              <w:jc w:val="right"/>
              <w:rPr>
                <w:rFonts w:ascii="宋体" w:hAnsi="宋体" w:cs="宋体"/>
                <w:color w:val="000000"/>
                <w:sz w:val="24"/>
                <w:szCs w:val="24"/>
              </w:rPr>
            </w:pPr>
            <w:r>
              <w:rPr>
                <w:rFonts w:ascii="宋体" w:hAnsi="宋体" w:cs="宋体"/>
                <w:color w:val="000000"/>
                <w:sz w:val="24"/>
                <w:szCs w:val="24"/>
              </w:rPr>
              <w:t>820,861.17</w:t>
            </w:r>
          </w:p>
        </w:tc>
        <w:tc>
          <w:tcPr>
            <w:tcW w:w="1705" w:type="dxa"/>
            <w:vAlign w:val="center"/>
          </w:tcPr>
          <w:p w14:paraId="42315816">
            <w:pPr>
              <w:jc w:val="right"/>
              <w:rPr>
                <w:rFonts w:ascii="宋体" w:hAnsi="宋体" w:cs="宋体"/>
                <w:color w:val="000000"/>
                <w:sz w:val="24"/>
                <w:szCs w:val="24"/>
              </w:rPr>
            </w:pPr>
            <w:r>
              <w:rPr>
                <w:rFonts w:ascii="宋体" w:hAnsi="宋体" w:cs="宋体"/>
                <w:color w:val="000000"/>
                <w:sz w:val="24"/>
                <w:szCs w:val="24"/>
              </w:rPr>
              <w:t>0.21</w:t>
            </w:r>
          </w:p>
        </w:tc>
      </w:tr>
      <w:tr w14:paraId="45323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1CA3E03">
            <w:pPr>
              <w:widowControl/>
              <w:jc w:val="center"/>
              <w:rPr>
                <w:rFonts w:ascii="宋体" w:hAnsi="宋体" w:cs="宋体"/>
                <w:color w:val="000000"/>
                <w:sz w:val="24"/>
                <w:szCs w:val="24"/>
              </w:rPr>
            </w:pPr>
            <w:r>
              <w:rPr>
                <w:rFonts w:hint="eastAsia" w:ascii="宋体" w:hAnsi="宋体" w:cs="宋体"/>
                <w:color w:val="000000"/>
                <w:sz w:val="24"/>
                <w:szCs w:val="24"/>
              </w:rPr>
              <w:t>8</w:t>
            </w:r>
          </w:p>
        </w:tc>
        <w:tc>
          <w:tcPr>
            <w:tcW w:w="1447" w:type="dxa"/>
            <w:tcBorders>
              <w:top w:val="nil"/>
              <w:left w:val="nil"/>
              <w:bottom w:val="single" w:color="auto" w:sz="4" w:space="0"/>
              <w:right w:val="single" w:color="auto" w:sz="4" w:space="0"/>
            </w:tcBorders>
            <w:shd w:val="clear" w:color="auto" w:fill="auto"/>
            <w:vAlign w:val="center"/>
          </w:tcPr>
          <w:p w14:paraId="25BD2442">
            <w:pPr>
              <w:widowControl/>
              <w:rPr>
                <w:rFonts w:ascii="宋体" w:hAnsi="宋体" w:cs="宋体"/>
                <w:color w:val="000000"/>
                <w:sz w:val="24"/>
                <w:szCs w:val="24"/>
              </w:rPr>
            </w:pPr>
            <w:r>
              <w:rPr>
                <w:rFonts w:hint="eastAsia" w:ascii="宋体" w:hAnsi="宋体" w:cs="宋体"/>
                <w:color w:val="000000"/>
                <w:sz w:val="24"/>
                <w:szCs w:val="24"/>
              </w:rPr>
              <w:t>拆放同业</w:t>
            </w:r>
          </w:p>
        </w:tc>
        <w:tc>
          <w:tcPr>
            <w:tcW w:w="1697" w:type="dxa"/>
            <w:shd w:val="clear" w:color="auto" w:fill="auto"/>
            <w:vAlign w:val="center"/>
          </w:tcPr>
          <w:p w14:paraId="14FF7EC8">
            <w:pPr>
              <w:jc w:val="right"/>
              <w:rPr>
                <w:rFonts w:ascii="宋体" w:hAnsi="宋体" w:cs="宋体"/>
                <w:color w:val="000000"/>
                <w:sz w:val="24"/>
                <w:szCs w:val="24"/>
              </w:rPr>
            </w:pPr>
            <w:r>
              <w:rPr>
                <w:rFonts w:ascii="宋体" w:hAnsi="宋体" w:cs="宋体"/>
                <w:color w:val="000000"/>
                <w:sz w:val="24"/>
                <w:szCs w:val="24"/>
              </w:rPr>
              <w:t>0.00</w:t>
            </w:r>
          </w:p>
        </w:tc>
        <w:tc>
          <w:tcPr>
            <w:tcW w:w="1749" w:type="dxa"/>
            <w:shd w:val="clear" w:color="auto" w:fill="auto"/>
            <w:vAlign w:val="center"/>
          </w:tcPr>
          <w:p w14:paraId="7AA9F2FC">
            <w:pPr>
              <w:jc w:val="right"/>
              <w:rPr>
                <w:rFonts w:ascii="宋体" w:hAnsi="宋体" w:cs="宋体"/>
                <w:color w:val="000000"/>
                <w:sz w:val="24"/>
                <w:szCs w:val="24"/>
              </w:rPr>
            </w:pPr>
            <w:r>
              <w:rPr>
                <w:rFonts w:ascii="宋体" w:hAnsi="宋体" w:cs="宋体"/>
                <w:color w:val="000000"/>
                <w:sz w:val="24"/>
                <w:szCs w:val="24"/>
              </w:rPr>
              <w:t>0.00</w:t>
            </w:r>
          </w:p>
        </w:tc>
        <w:tc>
          <w:tcPr>
            <w:tcW w:w="1653" w:type="dxa"/>
            <w:vAlign w:val="center"/>
          </w:tcPr>
          <w:p w14:paraId="3470F4CD">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0BE27E86">
            <w:pPr>
              <w:jc w:val="right"/>
              <w:rPr>
                <w:rFonts w:ascii="宋体" w:hAnsi="宋体" w:cs="宋体"/>
                <w:color w:val="000000"/>
                <w:sz w:val="24"/>
                <w:szCs w:val="24"/>
              </w:rPr>
            </w:pPr>
            <w:r>
              <w:rPr>
                <w:rFonts w:ascii="宋体" w:hAnsi="宋体" w:cs="宋体"/>
                <w:color w:val="000000"/>
                <w:sz w:val="24"/>
                <w:szCs w:val="24"/>
              </w:rPr>
              <w:t>0.00</w:t>
            </w:r>
          </w:p>
        </w:tc>
      </w:tr>
      <w:tr w14:paraId="54567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9CF1B7">
            <w:pPr>
              <w:widowControl/>
              <w:jc w:val="center"/>
              <w:rPr>
                <w:rFonts w:ascii="宋体" w:hAnsi="宋体" w:cs="宋体"/>
                <w:color w:val="000000"/>
                <w:sz w:val="24"/>
                <w:szCs w:val="24"/>
              </w:rPr>
            </w:pPr>
            <w:r>
              <w:rPr>
                <w:rFonts w:hint="eastAsia" w:ascii="宋体" w:hAnsi="宋体" w:cs="宋体"/>
                <w:color w:val="000000"/>
                <w:sz w:val="24"/>
                <w:szCs w:val="24"/>
              </w:rPr>
              <w:t>9</w:t>
            </w:r>
          </w:p>
        </w:tc>
        <w:tc>
          <w:tcPr>
            <w:tcW w:w="1447" w:type="dxa"/>
            <w:tcBorders>
              <w:top w:val="nil"/>
              <w:left w:val="nil"/>
              <w:bottom w:val="single" w:color="auto" w:sz="4" w:space="0"/>
              <w:right w:val="single" w:color="auto" w:sz="4" w:space="0"/>
            </w:tcBorders>
            <w:shd w:val="clear" w:color="auto" w:fill="auto"/>
            <w:vAlign w:val="center"/>
          </w:tcPr>
          <w:p w14:paraId="0E0B823A">
            <w:pPr>
              <w:widowControl/>
              <w:rPr>
                <w:rFonts w:ascii="宋体" w:hAnsi="宋体" w:cs="宋体"/>
                <w:color w:val="000000"/>
                <w:sz w:val="24"/>
                <w:szCs w:val="24"/>
              </w:rPr>
            </w:pPr>
            <w:r>
              <w:rPr>
                <w:rFonts w:hint="eastAsia" w:ascii="宋体" w:hAnsi="宋体" w:cs="宋体"/>
                <w:color w:val="000000"/>
                <w:sz w:val="24"/>
                <w:szCs w:val="24"/>
              </w:rPr>
              <w:t>资管</w:t>
            </w:r>
            <w:r>
              <w:rPr>
                <w:rFonts w:ascii="宋体" w:hAnsi="宋体" w:cs="宋体"/>
                <w:color w:val="000000"/>
                <w:sz w:val="24"/>
                <w:szCs w:val="24"/>
              </w:rPr>
              <w:t>产品</w:t>
            </w:r>
          </w:p>
        </w:tc>
        <w:tc>
          <w:tcPr>
            <w:tcW w:w="1697" w:type="dxa"/>
            <w:shd w:val="clear" w:color="auto" w:fill="auto"/>
            <w:vAlign w:val="center"/>
          </w:tcPr>
          <w:p w14:paraId="32B011F3">
            <w:pPr>
              <w:jc w:val="right"/>
              <w:rPr>
                <w:rFonts w:ascii="宋体" w:hAnsi="宋体" w:cs="宋体"/>
                <w:color w:val="000000"/>
                <w:sz w:val="24"/>
                <w:szCs w:val="24"/>
              </w:rPr>
            </w:pPr>
            <w:r>
              <w:rPr>
                <w:rFonts w:ascii="宋体" w:hAnsi="宋体" w:cs="宋体"/>
                <w:color w:val="000000"/>
                <w:sz w:val="24"/>
                <w:szCs w:val="24"/>
              </w:rPr>
              <w:t>30,443,582.47</w:t>
            </w:r>
          </w:p>
        </w:tc>
        <w:tc>
          <w:tcPr>
            <w:tcW w:w="1749" w:type="dxa"/>
            <w:shd w:val="clear" w:color="auto" w:fill="auto"/>
            <w:vAlign w:val="center"/>
          </w:tcPr>
          <w:p w14:paraId="1FF9A32D">
            <w:pPr>
              <w:jc w:val="right"/>
              <w:rPr>
                <w:rFonts w:ascii="宋体" w:hAnsi="宋体" w:cs="宋体"/>
                <w:color w:val="000000"/>
                <w:sz w:val="24"/>
                <w:szCs w:val="24"/>
              </w:rPr>
            </w:pPr>
            <w:r>
              <w:rPr>
                <w:rFonts w:ascii="宋体" w:hAnsi="宋体" w:cs="宋体"/>
                <w:color w:val="000000"/>
                <w:sz w:val="24"/>
                <w:szCs w:val="24"/>
              </w:rPr>
              <w:t>7.66</w:t>
            </w:r>
          </w:p>
        </w:tc>
        <w:tc>
          <w:tcPr>
            <w:tcW w:w="1653" w:type="dxa"/>
            <w:vAlign w:val="center"/>
          </w:tcPr>
          <w:p w14:paraId="254A8AF8">
            <w:pPr>
              <w:jc w:val="right"/>
              <w:rPr>
                <w:rFonts w:ascii="宋体" w:hAnsi="宋体" w:cs="宋体"/>
                <w:color w:val="000000"/>
                <w:sz w:val="24"/>
                <w:szCs w:val="24"/>
              </w:rPr>
            </w:pPr>
            <w:r>
              <w:rPr>
                <w:rFonts w:ascii="宋体" w:hAnsi="宋体" w:cs="宋体"/>
                <w:color w:val="000000"/>
                <w:sz w:val="24"/>
                <w:szCs w:val="24"/>
              </w:rPr>
              <w:t>0.00</w:t>
            </w:r>
          </w:p>
        </w:tc>
        <w:tc>
          <w:tcPr>
            <w:tcW w:w="1705" w:type="dxa"/>
            <w:vAlign w:val="center"/>
          </w:tcPr>
          <w:p w14:paraId="7B9E213D">
            <w:pPr>
              <w:jc w:val="right"/>
              <w:rPr>
                <w:rFonts w:ascii="宋体" w:hAnsi="宋体" w:cs="宋体"/>
                <w:color w:val="000000"/>
                <w:sz w:val="24"/>
                <w:szCs w:val="24"/>
              </w:rPr>
            </w:pPr>
            <w:r>
              <w:rPr>
                <w:rFonts w:ascii="宋体" w:hAnsi="宋体" w:cs="宋体"/>
                <w:color w:val="000000"/>
                <w:sz w:val="24"/>
                <w:szCs w:val="24"/>
              </w:rPr>
              <w:t>0.00</w:t>
            </w:r>
          </w:p>
        </w:tc>
      </w:tr>
      <w:tr w14:paraId="0090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E2C46F">
            <w:pPr>
              <w:widowControl/>
              <w:jc w:val="center"/>
              <w:rPr>
                <w:rFonts w:ascii="宋体" w:hAnsi="宋体" w:cs="宋体"/>
                <w:color w:val="000000"/>
                <w:sz w:val="24"/>
                <w:szCs w:val="24"/>
              </w:rPr>
            </w:pPr>
            <w:r>
              <w:rPr>
                <w:rFonts w:ascii="宋体" w:hAnsi="宋体" w:cs="宋体"/>
                <w:color w:val="000000"/>
                <w:sz w:val="24"/>
                <w:szCs w:val="24"/>
              </w:rPr>
              <w:t>10</w:t>
            </w:r>
          </w:p>
        </w:tc>
        <w:tc>
          <w:tcPr>
            <w:tcW w:w="1447" w:type="dxa"/>
            <w:tcBorders>
              <w:top w:val="nil"/>
              <w:left w:val="nil"/>
              <w:bottom w:val="single" w:color="auto" w:sz="4" w:space="0"/>
              <w:right w:val="single" w:color="auto" w:sz="4" w:space="0"/>
            </w:tcBorders>
            <w:shd w:val="clear" w:color="auto" w:fill="auto"/>
            <w:vAlign w:val="center"/>
          </w:tcPr>
          <w:p w14:paraId="02CD6C98">
            <w:pPr>
              <w:widowControl/>
              <w:rPr>
                <w:rFonts w:ascii="宋体" w:hAnsi="宋体" w:cs="宋体"/>
                <w:color w:val="000000"/>
                <w:sz w:val="24"/>
                <w:szCs w:val="24"/>
              </w:rPr>
            </w:pPr>
            <w:r>
              <w:rPr>
                <w:rFonts w:hint="eastAsia" w:ascii="宋体" w:hAnsi="宋体" w:cs="宋体"/>
                <w:color w:val="000000"/>
                <w:sz w:val="24"/>
                <w:szCs w:val="24"/>
              </w:rPr>
              <w:t>其他资产</w:t>
            </w:r>
          </w:p>
        </w:tc>
        <w:tc>
          <w:tcPr>
            <w:tcW w:w="1697" w:type="dxa"/>
            <w:shd w:val="clear" w:color="auto" w:fill="auto"/>
            <w:vAlign w:val="center"/>
          </w:tcPr>
          <w:p w14:paraId="075CC62E">
            <w:pPr>
              <w:jc w:val="right"/>
              <w:rPr>
                <w:rFonts w:ascii="宋体" w:hAnsi="宋体" w:cs="宋体"/>
                <w:color w:val="000000"/>
                <w:sz w:val="24"/>
                <w:szCs w:val="24"/>
              </w:rPr>
            </w:pPr>
            <w:r>
              <w:rPr>
                <w:rFonts w:ascii="宋体" w:hAnsi="宋体" w:cs="宋体"/>
                <w:color w:val="000000"/>
                <w:sz w:val="24"/>
                <w:szCs w:val="24"/>
              </w:rPr>
              <w:t>92,659.24</w:t>
            </w:r>
          </w:p>
        </w:tc>
        <w:tc>
          <w:tcPr>
            <w:tcW w:w="1749" w:type="dxa"/>
            <w:shd w:val="clear" w:color="auto" w:fill="auto"/>
            <w:vAlign w:val="center"/>
          </w:tcPr>
          <w:p w14:paraId="7699820B">
            <w:pPr>
              <w:jc w:val="right"/>
              <w:rPr>
                <w:rFonts w:ascii="宋体" w:hAnsi="宋体" w:cs="宋体"/>
                <w:color w:val="000000"/>
                <w:sz w:val="24"/>
                <w:szCs w:val="24"/>
              </w:rPr>
            </w:pPr>
            <w:r>
              <w:rPr>
                <w:rFonts w:ascii="宋体" w:hAnsi="宋体" w:cs="宋体"/>
                <w:color w:val="000000"/>
                <w:sz w:val="24"/>
                <w:szCs w:val="24"/>
              </w:rPr>
              <w:t>0.02</w:t>
            </w:r>
          </w:p>
        </w:tc>
        <w:tc>
          <w:tcPr>
            <w:tcW w:w="1653" w:type="dxa"/>
            <w:vAlign w:val="center"/>
          </w:tcPr>
          <w:p w14:paraId="610829D7">
            <w:pPr>
              <w:jc w:val="right"/>
              <w:rPr>
                <w:rFonts w:ascii="宋体" w:hAnsi="宋体" w:cs="宋体"/>
                <w:color w:val="000000"/>
                <w:sz w:val="24"/>
                <w:szCs w:val="24"/>
              </w:rPr>
            </w:pPr>
            <w:r>
              <w:rPr>
                <w:rFonts w:ascii="宋体" w:hAnsi="宋体" w:cs="宋体"/>
                <w:color w:val="000000"/>
                <w:sz w:val="24"/>
                <w:szCs w:val="24"/>
              </w:rPr>
              <w:t>261,644.79</w:t>
            </w:r>
          </w:p>
        </w:tc>
        <w:tc>
          <w:tcPr>
            <w:tcW w:w="1705" w:type="dxa"/>
            <w:vAlign w:val="center"/>
          </w:tcPr>
          <w:p w14:paraId="4B754EF2">
            <w:pPr>
              <w:jc w:val="right"/>
              <w:rPr>
                <w:rFonts w:ascii="宋体" w:hAnsi="宋体" w:cs="宋体"/>
                <w:color w:val="000000"/>
                <w:sz w:val="24"/>
                <w:szCs w:val="24"/>
              </w:rPr>
            </w:pPr>
            <w:r>
              <w:rPr>
                <w:rFonts w:ascii="宋体" w:hAnsi="宋体" w:cs="宋体"/>
                <w:color w:val="000000"/>
                <w:sz w:val="24"/>
                <w:szCs w:val="24"/>
              </w:rPr>
              <w:t>0.07</w:t>
            </w:r>
          </w:p>
        </w:tc>
      </w:tr>
      <w:tr w14:paraId="5BF44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54A044E7">
            <w:pPr>
              <w:jc w:val="left"/>
              <w:rPr>
                <w:rFonts w:ascii="宋体" w:hAnsi="宋体" w:cs="宋体"/>
                <w:color w:val="000000"/>
                <w:sz w:val="24"/>
                <w:szCs w:val="24"/>
              </w:rPr>
            </w:pPr>
          </w:p>
        </w:tc>
        <w:tc>
          <w:tcPr>
            <w:tcW w:w="1447" w:type="dxa"/>
            <w:shd w:val="clear" w:color="auto" w:fill="auto"/>
          </w:tcPr>
          <w:p w14:paraId="2C7F6F8B">
            <w:pPr>
              <w:jc w:val="left"/>
              <w:rPr>
                <w:rFonts w:ascii="宋体" w:hAnsi="宋体" w:cs="宋体"/>
                <w:color w:val="000000"/>
                <w:sz w:val="24"/>
                <w:szCs w:val="24"/>
              </w:rPr>
            </w:pPr>
            <w:r>
              <w:rPr>
                <w:rFonts w:hint="eastAsia" w:ascii="宋体" w:hAnsi="宋体" w:cs="宋体"/>
                <w:color w:val="000000"/>
                <w:sz w:val="24"/>
                <w:szCs w:val="24"/>
              </w:rPr>
              <w:t>合计</w:t>
            </w:r>
          </w:p>
        </w:tc>
        <w:tc>
          <w:tcPr>
            <w:tcW w:w="1697" w:type="dxa"/>
            <w:shd w:val="clear" w:color="auto" w:fill="auto"/>
          </w:tcPr>
          <w:p w14:paraId="2881E1C0">
            <w:pPr>
              <w:jc w:val="right"/>
              <w:rPr>
                <w:rFonts w:ascii="宋体" w:hAnsi="宋体" w:cs="宋体"/>
                <w:color w:val="000000"/>
                <w:sz w:val="24"/>
                <w:szCs w:val="24"/>
              </w:rPr>
            </w:pPr>
            <w:r>
              <w:rPr>
                <w:rFonts w:ascii="宋体" w:hAnsi="宋体" w:cs="宋体"/>
                <w:color w:val="000000"/>
                <w:sz w:val="24"/>
                <w:szCs w:val="24"/>
              </w:rPr>
              <w:t>397,473,451.63</w:t>
            </w:r>
          </w:p>
        </w:tc>
        <w:tc>
          <w:tcPr>
            <w:tcW w:w="1749" w:type="dxa"/>
            <w:shd w:val="clear" w:color="auto" w:fill="auto"/>
          </w:tcPr>
          <w:p w14:paraId="409AEB9B">
            <w:pPr>
              <w:jc w:val="right"/>
              <w:rPr>
                <w:rFonts w:ascii="宋体" w:hAnsi="宋体" w:cs="宋体"/>
                <w:color w:val="000000"/>
                <w:sz w:val="24"/>
                <w:szCs w:val="24"/>
              </w:rPr>
            </w:pPr>
            <w:r>
              <w:rPr>
                <w:rFonts w:ascii="宋体" w:hAnsi="宋体" w:cs="宋体"/>
                <w:color w:val="000000"/>
                <w:sz w:val="24"/>
                <w:szCs w:val="24"/>
              </w:rPr>
              <w:t>100.00</w:t>
            </w:r>
          </w:p>
        </w:tc>
        <w:tc>
          <w:tcPr>
            <w:tcW w:w="1653" w:type="dxa"/>
          </w:tcPr>
          <w:p w14:paraId="45E5E1BE">
            <w:pPr>
              <w:jc w:val="right"/>
              <w:rPr>
                <w:rFonts w:ascii="宋体" w:hAnsi="宋体" w:cs="宋体"/>
                <w:color w:val="000000"/>
                <w:sz w:val="24"/>
                <w:szCs w:val="24"/>
              </w:rPr>
            </w:pPr>
            <w:r>
              <w:rPr>
                <w:rFonts w:ascii="宋体" w:hAnsi="宋体" w:cs="宋体"/>
                <w:color w:val="000000"/>
                <w:sz w:val="24"/>
                <w:szCs w:val="24"/>
              </w:rPr>
              <w:t>33,693,918.63</w:t>
            </w:r>
          </w:p>
        </w:tc>
        <w:tc>
          <w:tcPr>
            <w:tcW w:w="1705" w:type="dxa"/>
          </w:tcPr>
          <w:p w14:paraId="32C48D23">
            <w:pPr>
              <w:jc w:val="right"/>
              <w:rPr>
                <w:rFonts w:ascii="宋体" w:hAnsi="宋体" w:cs="宋体"/>
                <w:color w:val="000000"/>
                <w:sz w:val="24"/>
                <w:szCs w:val="24"/>
              </w:rPr>
            </w:pPr>
            <w:r>
              <w:rPr>
                <w:rFonts w:ascii="宋体" w:hAnsi="宋体" w:cs="宋体"/>
                <w:color w:val="000000"/>
                <w:sz w:val="24"/>
                <w:szCs w:val="24"/>
              </w:rPr>
              <w:t>8.48</w:t>
            </w:r>
          </w:p>
        </w:tc>
      </w:tr>
    </w:tbl>
    <w:p w14:paraId="3D1C6AAC">
      <w:pPr>
        <w:ind w:left="420" w:leftChars="200"/>
        <w:jc w:val="left"/>
        <w:rPr>
          <w:rFonts w:ascii="宋体" w:hAnsi="宋体"/>
          <w:sz w:val="24"/>
        </w:rPr>
      </w:pPr>
    </w:p>
    <w:p w14:paraId="4899D77E">
      <w:pPr>
        <w:spacing w:line="360" w:lineRule="auto"/>
        <w:ind w:right="-107" w:rightChars="-51" w:firstLine="420"/>
        <w:jc w:val="left"/>
        <w:rPr>
          <w:rFonts w:ascii="宋体" w:hAnsi="宋体" w:cs="宋体"/>
          <w:color w:val="000000"/>
          <w:sz w:val="24"/>
          <w:szCs w:val="24"/>
        </w:rPr>
      </w:pPr>
      <w:r>
        <w:rPr>
          <w:rFonts w:ascii="宋体" w:hAnsi="宋体" w:cs="宋体"/>
          <w:color w:val="000000"/>
          <w:sz w:val="24"/>
          <w:szCs w:val="24"/>
        </w:rPr>
        <w:t>注1：间接投资占产品总资产的比例（%）为占本产品总资产的比例（%）。</w:t>
      </w:r>
    </w:p>
    <w:p w14:paraId="78EDE5BD">
      <w:pPr>
        <w:ind w:left="420" w:leftChars="200"/>
        <w:jc w:val="left"/>
        <w:rPr>
          <w:rFonts w:asciiTheme="minorEastAsia" w:hAnsiTheme="minorEastAsia" w:eastAsiaTheme="minorEastAsia"/>
          <w:szCs w:val="21"/>
        </w:rPr>
      </w:pPr>
    </w:p>
    <w:p w14:paraId="16B04206">
      <w:pPr>
        <w:jc w:val="left"/>
        <w:rPr>
          <w:rFonts w:ascii="宋体" w:hAnsi="宋体" w:cs="宋体"/>
          <w:color w:val="000000"/>
          <w:sz w:val="24"/>
          <w:szCs w:val="24"/>
        </w:rPr>
      </w:pPr>
      <w:r>
        <w:rPr>
          <w:rFonts w:hint="eastAsia" w:ascii="宋体" w:hAnsi="宋体" w:cs="宋体"/>
          <w:color w:val="000000"/>
          <w:sz w:val="24"/>
          <w:szCs w:val="24"/>
        </w:rPr>
        <w:t>4.3 报告期末投资前十名资产明细</w:t>
      </w:r>
    </w:p>
    <w:p w14:paraId="68E85CAC">
      <w:pPr>
        <w:jc w:val="right"/>
        <w:rPr>
          <w:rFonts w:ascii="宋体" w:hAnsi="宋体" w:cs="宋体"/>
          <w:color w:val="000000"/>
          <w:sz w:val="24"/>
          <w:szCs w:val="24"/>
        </w:rPr>
      </w:pPr>
      <w:r>
        <w:rPr>
          <w:rFonts w:hint="eastAsia" w:ascii="宋体" w:hAnsi="宋体" w:cs="宋体"/>
          <w:color w:val="000000"/>
          <w:sz w:val="24"/>
          <w:szCs w:val="24"/>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7B99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B234DD0">
            <w:pPr>
              <w:jc w:val="center"/>
              <w:rPr>
                <w:rFonts w:ascii="宋体" w:hAnsi="宋体"/>
                <w:b/>
                <w:sz w:val="24"/>
                <w:szCs w:val="24"/>
              </w:rPr>
            </w:pPr>
            <w:r>
              <w:rPr>
                <w:rFonts w:hint="eastAsia" w:ascii="宋体" w:hAnsi="宋体"/>
                <w:b/>
                <w:sz w:val="24"/>
                <w:szCs w:val="24"/>
              </w:rPr>
              <w:t>序号</w:t>
            </w:r>
          </w:p>
        </w:tc>
        <w:tc>
          <w:tcPr>
            <w:tcW w:w="3159" w:type="dxa"/>
            <w:shd w:val="clear" w:color="auto" w:fill="D9D9D9"/>
            <w:vAlign w:val="center"/>
          </w:tcPr>
          <w:p w14:paraId="23EBEDC4">
            <w:pPr>
              <w:jc w:val="left"/>
              <w:rPr>
                <w:rFonts w:ascii="宋体" w:hAnsi="宋体"/>
                <w:b/>
                <w:sz w:val="24"/>
                <w:szCs w:val="24"/>
              </w:rPr>
            </w:pPr>
            <w:r>
              <w:rPr>
                <w:rFonts w:hint="eastAsia" w:ascii="宋体" w:hAnsi="宋体"/>
                <w:b/>
                <w:sz w:val="24"/>
                <w:szCs w:val="24"/>
              </w:rPr>
              <w:t>资产名称</w:t>
            </w:r>
          </w:p>
        </w:tc>
        <w:tc>
          <w:tcPr>
            <w:tcW w:w="2693" w:type="dxa"/>
            <w:shd w:val="clear" w:color="auto" w:fill="D9D9D9"/>
            <w:vAlign w:val="center"/>
          </w:tcPr>
          <w:p w14:paraId="64CB8755">
            <w:pPr>
              <w:jc w:val="left"/>
              <w:rPr>
                <w:rFonts w:ascii="宋体" w:hAnsi="宋体"/>
                <w:b/>
                <w:sz w:val="24"/>
                <w:szCs w:val="24"/>
              </w:rPr>
            </w:pPr>
            <w:r>
              <w:rPr>
                <w:rFonts w:hint="eastAsia" w:ascii="宋体" w:hAnsi="宋体"/>
                <w:b/>
                <w:sz w:val="24"/>
                <w:szCs w:val="24"/>
              </w:rPr>
              <w:t>金额</w:t>
            </w:r>
          </w:p>
        </w:tc>
        <w:tc>
          <w:tcPr>
            <w:tcW w:w="2431" w:type="dxa"/>
            <w:shd w:val="clear" w:color="auto" w:fill="D9D9D9"/>
            <w:vAlign w:val="center"/>
          </w:tcPr>
          <w:p w14:paraId="4978741A">
            <w:pPr>
              <w:jc w:val="left"/>
              <w:rPr>
                <w:rFonts w:ascii="宋体" w:hAnsi="宋体"/>
                <w:b/>
                <w:sz w:val="24"/>
                <w:szCs w:val="24"/>
              </w:rPr>
            </w:pPr>
            <w:r>
              <w:rPr>
                <w:rFonts w:hint="eastAsia" w:ascii="宋体" w:hAnsi="宋体"/>
                <w:b/>
                <w:sz w:val="24"/>
                <w:szCs w:val="24"/>
              </w:rPr>
              <w:t>占产品资产净值比例（%）</w:t>
            </w:r>
          </w:p>
        </w:tc>
      </w:tr>
      <w:tr w14:paraId="61799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B5B86E1">
            <w:pPr>
              <w:jc w:val="center"/>
              <w:rPr>
                <w:rFonts w:ascii="宋体" w:hAnsi="宋体" w:cs="宋体"/>
                <w:color w:val="000000"/>
                <w:sz w:val="24"/>
                <w:szCs w:val="24"/>
              </w:rPr>
            </w:pPr>
            <w:r>
              <w:rPr>
                <w:rFonts w:hint="eastAsia" w:ascii="宋体" w:hAnsi="宋体" w:cs="宋体"/>
                <w:color w:val="000000"/>
                <w:sz w:val="24"/>
                <w:szCs w:val="24"/>
              </w:rPr>
              <w:t>1</w:t>
            </w:r>
          </w:p>
        </w:tc>
        <w:tc>
          <w:tcPr>
            <w:tcW w:w="3159" w:type="dxa"/>
            <w:shd w:val="clear" w:color="auto" w:fill="auto"/>
            <w:vAlign w:val="center"/>
          </w:tcPr>
          <w:p w14:paraId="396FF0D5">
            <w:pPr>
              <w:rPr>
                <w:rFonts w:ascii="宋体" w:hAnsi="宋体" w:cs="宋体"/>
                <w:color w:val="000000"/>
                <w:sz w:val="24"/>
                <w:szCs w:val="24"/>
              </w:rPr>
            </w:pPr>
            <w:r>
              <w:rPr>
                <w:rFonts w:ascii="宋体" w:hAnsi="宋体" w:cs="宋体"/>
                <w:color w:val="000000"/>
                <w:sz w:val="24"/>
                <w:szCs w:val="24"/>
              </w:rPr>
              <w:t>23浦经01</w:t>
            </w:r>
          </w:p>
        </w:tc>
        <w:tc>
          <w:tcPr>
            <w:tcW w:w="2693" w:type="dxa"/>
            <w:shd w:val="clear" w:color="auto" w:fill="auto"/>
            <w:vAlign w:val="center"/>
          </w:tcPr>
          <w:p w14:paraId="4CD6B20A">
            <w:pPr>
              <w:jc w:val="right"/>
              <w:rPr>
                <w:rFonts w:ascii="宋体" w:hAnsi="宋体" w:cs="宋体"/>
                <w:color w:val="000000"/>
                <w:sz w:val="24"/>
                <w:szCs w:val="24"/>
              </w:rPr>
            </w:pPr>
            <w:r>
              <w:rPr>
                <w:rFonts w:ascii="宋体" w:hAnsi="宋体" w:cs="宋体"/>
                <w:color w:val="000000"/>
                <w:sz w:val="24"/>
                <w:szCs w:val="24"/>
              </w:rPr>
              <w:t>30,926,535.20</w:t>
            </w:r>
          </w:p>
        </w:tc>
        <w:tc>
          <w:tcPr>
            <w:tcW w:w="2431" w:type="dxa"/>
            <w:shd w:val="clear" w:color="auto" w:fill="auto"/>
            <w:vAlign w:val="center"/>
          </w:tcPr>
          <w:p w14:paraId="1F217704">
            <w:pPr>
              <w:jc w:val="right"/>
              <w:rPr>
                <w:rFonts w:ascii="宋体" w:hAnsi="宋体" w:cs="宋体"/>
                <w:color w:val="000000"/>
                <w:sz w:val="24"/>
                <w:szCs w:val="24"/>
              </w:rPr>
            </w:pPr>
            <w:bookmarkStart w:id="0" w:name="OLE_LINK5"/>
            <w:bookmarkStart w:id="1" w:name="OLE_LINK6"/>
            <w:r>
              <w:rPr>
                <w:rFonts w:ascii="宋体" w:hAnsi="宋体" w:cs="宋体"/>
                <w:color w:val="000000"/>
                <w:sz w:val="24"/>
                <w:szCs w:val="24"/>
              </w:rPr>
              <w:t>7.99</w:t>
            </w:r>
            <w:bookmarkEnd w:id="0"/>
            <w:bookmarkEnd w:id="1"/>
          </w:p>
        </w:tc>
      </w:tr>
      <w:tr w14:paraId="6818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5851875">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2</w:t>
            </w:r>
          </w:p>
        </w:tc>
        <w:tc>
          <w:tcPr>
            <w:tcW w:w="3159" w:type="dxa"/>
            <w:shd w:val="clear" w:color="auto" w:fill="auto"/>
            <w:vAlign w:val="center"/>
          </w:tcPr>
          <w:p w14:paraId="04BDD101">
            <w:pPr>
              <w:ind w:hanging="1"/>
              <w:jc w:val="left"/>
              <w:rPr>
                <w:rFonts w:ascii="宋体" w:hAnsi="宋体" w:cs="宋体"/>
                <w:color w:val="000000"/>
                <w:sz w:val="24"/>
                <w:szCs w:val="24"/>
              </w:rPr>
            </w:pPr>
            <w:r>
              <w:rPr>
                <w:rFonts w:ascii="宋体" w:hAnsi="宋体" w:cs="宋体"/>
                <w:b w:val="0"/>
                <w:i w:val="0"/>
                <w:strike w:val="0"/>
                <w:color w:val="000000"/>
                <w:sz w:val="24"/>
                <w:u w:val="none"/>
              </w:rPr>
              <w:t>创金合信恒利75号集合资产管理计划</w:t>
            </w:r>
          </w:p>
        </w:tc>
        <w:tc>
          <w:tcPr>
            <w:tcW w:w="2693" w:type="dxa"/>
            <w:shd w:val="clear" w:color="auto" w:fill="auto"/>
            <w:vAlign w:val="center"/>
          </w:tcPr>
          <w:p w14:paraId="040A4D9D">
            <w:pPr>
              <w:ind w:hanging="1"/>
              <w:jc w:val="right"/>
              <w:rPr>
                <w:rFonts w:ascii="宋体" w:hAnsi="宋体" w:cs="宋体"/>
                <w:color w:val="000000"/>
                <w:sz w:val="24"/>
                <w:szCs w:val="24"/>
              </w:rPr>
            </w:pPr>
            <w:r>
              <w:rPr>
                <w:rFonts w:ascii="宋体" w:hAnsi="宋体" w:cs="宋体"/>
                <w:b w:val="0"/>
                <w:i w:val="0"/>
                <w:strike w:val="0"/>
                <w:color w:val="000000"/>
                <w:sz w:val="24"/>
                <w:u w:val="none"/>
              </w:rPr>
              <w:t>30,443,582.47</w:t>
            </w:r>
          </w:p>
        </w:tc>
        <w:tc>
          <w:tcPr>
            <w:tcW w:w="2431" w:type="dxa"/>
            <w:shd w:val="clear" w:color="auto" w:fill="auto"/>
            <w:vAlign w:val="center"/>
          </w:tcPr>
          <w:p w14:paraId="543D44CF">
            <w:pPr>
              <w:ind w:hanging="1"/>
              <w:jc w:val="right"/>
              <w:rPr>
                <w:rFonts w:ascii="宋体" w:hAnsi="宋体" w:cs="宋体"/>
                <w:color w:val="000000"/>
                <w:sz w:val="24"/>
                <w:szCs w:val="24"/>
              </w:rPr>
            </w:pPr>
            <w:r>
              <w:rPr>
                <w:rFonts w:ascii="宋体" w:hAnsi="宋体" w:cs="宋体"/>
                <w:b w:val="0"/>
                <w:i w:val="0"/>
                <w:strike w:val="0"/>
                <w:color w:val="000000"/>
                <w:sz w:val="24"/>
                <w:u w:val="none"/>
              </w:rPr>
              <w:t>7.86</w:t>
            </w:r>
          </w:p>
        </w:tc>
      </w:tr>
      <w:tr w14:paraId="30CB4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A194868">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3</w:t>
            </w:r>
          </w:p>
        </w:tc>
        <w:tc>
          <w:tcPr>
            <w:tcW w:w="3159" w:type="dxa"/>
            <w:shd w:val="clear" w:color="auto" w:fill="auto"/>
            <w:vAlign w:val="center"/>
          </w:tcPr>
          <w:p w14:paraId="736545E0">
            <w:pPr>
              <w:ind w:hanging="1"/>
              <w:jc w:val="left"/>
              <w:rPr>
                <w:rFonts w:ascii="宋体" w:hAnsi="宋体" w:cs="宋体"/>
                <w:color w:val="000000"/>
                <w:sz w:val="24"/>
                <w:szCs w:val="24"/>
              </w:rPr>
            </w:pPr>
            <w:r>
              <w:rPr>
                <w:rFonts w:ascii="宋体" w:hAnsi="宋体" w:cs="宋体"/>
                <w:b w:val="0"/>
                <w:i w:val="0"/>
                <w:strike w:val="0"/>
                <w:color w:val="000000"/>
                <w:sz w:val="24"/>
                <w:u w:val="none"/>
              </w:rPr>
              <w:t>21郑州银行永续债</w:t>
            </w:r>
          </w:p>
        </w:tc>
        <w:tc>
          <w:tcPr>
            <w:tcW w:w="2693" w:type="dxa"/>
            <w:shd w:val="clear" w:color="auto" w:fill="auto"/>
            <w:vAlign w:val="center"/>
          </w:tcPr>
          <w:p w14:paraId="331E7951">
            <w:pPr>
              <w:ind w:hanging="1"/>
              <w:jc w:val="right"/>
              <w:rPr>
                <w:rFonts w:ascii="宋体" w:hAnsi="宋体" w:cs="宋体"/>
                <w:color w:val="000000"/>
                <w:sz w:val="24"/>
                <w:szCs w:val="24"/>
              </w:rPr>
            </w:pPr>
            <w:r>
              <w:rPr>
                <w:rFonts w:ascii="宋体" w:hAnsi="宋体" w:cs="宋体"/>
                <w:b w:val="0"/>
                <w:i w:val="0"/>
                <w:strike w:val="0"/>
                <w:color w:val="000000"/>
                <w:sz w:val="24"/>
                <w:u w:val="none"/>
              </w:rPr>
              <w:t>20,834,501.10</w:t>
            </w:r>
          </w:p>
        </w:tc>
        <w:tc>
          <w:tcPr>
            <w:tcW w:w="2431" w:type="dxa"/>
            <w:shd w:val="clear" w:color="auto" w:fill="auto"/>
            <w:vAlign w:val="center"/>
          </w:tcPr>
          <w:p w14:paraId="258244B8">
            <w:pPr>
              <w:ind w:hanging="1"/>
              <w:jc w:val="right"/>
              <w:rPr>
                <w:rFonts w:ascii="宋体" w:hAnsi="宋体" w:cs="宋体"/>
                <w:color w:val="000000"/>
                <w:sz w:val="24"/>
                <w:szCs w:val="24"/>
              </w:rPr>
            </w:pPr>
            <w:r>
              <w:rPr>
                <w:rFonts w:ascii="宋体" w:hAnsi="宋体" w:cs="宋体"/>
                <w:b w:val="0"/>
                <w:i w:val="0"/>
                <w:strike w:val="0"/>
                <w:color w:val="000000"/>
                <w:sz w:val="24"/>
                <w:u w:val="none"/>
              </w:rPr>
              <w:t>5.38</w:t>
            </w:r>
          </w:p>
        </w:tc>
      </w:tr>
      <w:tr w14:paraId="50226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EFA3780">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4</w:t>
            </w:r>
          </w:p>
        </w:tc>
        <w:tc>
          <w:tcPr>
            <w:tcW w:w="3159" w:type="dxa"/>
            <w:shd w:val="clear" w:color="auto" w:fill="auto"/>
            <w:vAlign w:val="center"/>
          </w:tcPr>
          <w:p w14:paraId="58378D96">
            <w:pPr>
              <w:ind w:hanging="1"/>
              <w:jc w:val="left"/>
              <w:rPr>
                <w:rFonts w:ascii="宋体" w:hAnsi="宋体" w:cs="宋体"/>
                <w:color w:val="000000"/>
                <w:sz w:val="24"/>
                <w:szCs w:val="24"/>
              </w:rPr>
            </w:pPr>
            <w:r>
              <w:rPr>
                <w:rFonts w:ascii="宋体" w:hAnsi="宋体" w:cs="宋体"/>
                <w:b w:val="0"/>
                <w:i w:val="0"/>
                <w:strike w:val="0"/>
                <w:color w:val="000000"/>
                <w:sz w:val="24"/>
                <w:u w:val="none"/>
              </w:rPr>
              <w:t>25海诺01</w:t>
            </w:r>
          </w:p>
        </w:tc>
        <w:tc>
          <w:tcPr>
            <w:tcW w:w="2693" w:type="dxa"/>
            <w:shd w:val="clear" w:color="auto" w:fill="auto"/>
            <w:vAlign w:val="center"/>
          </w:tcPr>
          <w:p w14:paraId="1407672B">
            <w:pPr>
              <w:ind w:hanging="1"/>
              <w:jc w:val="right"/>
              <w:rPr>
                <w:rFonts w:ascii="宋体" w:hAnsi="宋体" w:cs="宋体"/>
                <w:color w:val="000000"/>
                <w:sz w:val="24"/>
                <w:szCs w:val="24"/>
              </w:rPr>
            </w:pPr>
            <w:r>
              <w:rPr>
                <w:rFonts w:ascii="宋体" w:hAnsi="宋体" w:cs="宋体"/>
                <w:b w:val="0"/>
                <w:i w:val="0"/>
                <w:strike w:val="0"/>
                <w:color w:val="000000"/>
                <w:sz w:val="24"/>
                <w:u w:val="none"/>
              </w:rPr>
              <w:t>20,507,703.56</w:t>
            </w:r>
          </w:p>
        </w:tc>
        <w:tc>
          <w:tcPr>
            <w:tcW w:w="2431" w:type="dxa"/>
            <w:shd w:val="clear" w:color="auto" w:fill="auto"/>
            <w:vAlign w:val="center"/>
          </w:tcPr>
          <w:p w14:paraId="0CC3E0D2">
            <w:pPr>
              <w:ind w:hanging="1"/>
              <w:jc w:val="right"/>
              <w:rPr>
                <w:rFonts w:ascii="宋体" w:hAnsi="宋体" w:cs="宋体"/>
                <w:color w:val="000000"/>
                <w:sz w:val="24"/>
                <w:szCs w:val="24"/>
              </w:rPr>
            </w:pPr>
            <w:r>
              <w:rPr>
                <w:rFonts w:ascii="宋体" w:hAnsi="宋体" w:cs="宋体"/>
                <w:b w:val="0"/>
                <w:i w:val="0"/>
                <w:strike w:val="0"/>
                <w:color w:val="000000"/>
                <w:sz w:val="24"/>
                <w:u w:val="none"/>
              </w:rPr>
              <w:t>5.30</w:t>
            </w:r>
          </w:p>
        </w:tc>
      </w:tr>
      <w:tr w14:paraId="7AF28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8D8296E">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5</w:t>
            </w:r>
          </w:p>
        </w:tc>
        <w:tc>
          <w:tcPr>
            <w:tcW w:w="3159" w:type="dxa"/>
            <w:shd w:val="clear" w:color="auto" w:fill="auto"/>
            <w:vAlign w:val="center"/>
          </w:tcPr>
          <w:p w14:paraId="1A28F926">
            <w:pPr>
              <w:ind w:hanging="1"/>
              <w:jc w:val="left"/>
              <w:rPr>
                <w:rFonts w:ascii="宋体" w:hAnsi="宋体" w:cs="宋体"/>
                <w:color w:val="000000"/>
                <w:sz w:val="24"/>
                <w:szCs w:val="24"/>
              </w:rPr>
            </w:pPr>
            <w:r>
              <w:rPr>
                <w:rFonts w:ascii="宋体" w:hAnsi="宋体" w:cs="宋体"/>
                <w:b w:val="0"/>
                <w:i w:val="0"/>
                <w:strike w:val="0"/>
                <w:color w:val="000000"/>
                <w:sz w:val="24"/>
                <w:u w:val="none"/>
              </w:rPr>
              <w:t>24兰山02</w:t>
            </w:r>
          </w:p>
        </w:tc>
        <w:tc>
          <w:tcPr>
            <w:tcW w:w="2693" w:type="dxa"/>
            <w:shd w:val="clear" w:color="auto" w:fill="auto"/>
            <w:vAlign w:val="center"/>
          </w:tcPr>
          <w:p w14:paraId="4501B1CE">
            <w:pPr>
              <w:ind w:hanging="1"/>
              <w:jc w:val="right"/>
              <w:rPr>
                <w:rFonts w:ascii="宋体" w:hAnsi="宋体" w:cs="宋体"/>
                <w:color w:val="000000"/>
                <w:sz w:val="24"/>
                <w:szCs w:val="24"/>
              </w:rPr>
            </w:pPr>
            <w:r>
              <w:rPr>
                <w:rFonts w:ascii="宋体" w:hAnsi="宋体" w:cs="宋体"/>
                <w:b w:val="0"/>
                <w:i w:val="0"/>
                <w:strike w:val="0"/>
                <w:color w:val="000000"/>
                <w:sz w:val="24"/>
                <w:u w:val="none"/>
              </w:rPr>
              <w:t>20,205,917.26</w:t>
            </w:r>
          </w:p>
        </w:tc>
        <w:tc>
          <w:tcPr>
            <w:tcW w:w="2431" w:type="dxa"/>
            <w:shd w:val="clear" w:color="auto" w:fill="auto"/>
            <w:vAlign w:val="center"/>
          </w:tcPr>
          <w:p w14:paraId="239E0B66">
            <w:pPr>
              <w:ind w:hanging="1"/>
              <w:jc w:val="right"/>
              <w:rPr>
                <w:rFonts w:ascii="宋体" w:hAnsi="宋体" w:cs="宋体"/>
                <w:color w:val="000000"/>
                <w:sz w:val="24"/>
                <w:szCs w:val="24"/>
              </w:rPr>
            </w:pPr>
            <w:r>
              <w:rPr>
                <w:rFonts w:ascii="宋体" w:hAnsi="宋体" w:cs="宋体"/>
                <w:b w:val="0"/>
                <w:i w:val="0"/>
                <w:strike w:val="0"/>
                <w:color w:val="000000"/>
                <w:sz w:val="24"/>
                <w:u w:val="none"/>
              </w:rPr>
              <w:t>5.22</w:t>
            </w:r>
          </w:p>
        </w:tc>
      </w:tr>
      <w:tr w14:paraId="670E7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39E00D6">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6</w:t>
            </w:r>
          </w:p>
        </w:tc>
        <w:tc>
          <w:tcPr>
            <w:tcW w:w="3159" w:type="dxa"/>
            <w:shd w:val="clear" w:color="auto" w:fill="auto"/>
            <w:vAlign w:val="center"/>
          </w:tcPr>
          <w:p w14:paraId="51967509">
            <w:pPr>
              <w:ind w:hanging="1"/>
              <w:jc w:val="left"/>
              <w:rPr>
                <w:rFonts w:ascii="宋体" w:hAnsi="宋体" w:cs="宋体"/>
                <w:color w:val="000000"/>
                <w:sz w:val="24"/>
                <w:szCs w:val="24"/>
              </w:rPr>
            </w:pPr>
            <w:r>
              <w:rPr>
                <w:rFonts w:ascii="宋体" w:hAnsi="宋体" w:cs="宋体"/>
                <w:b w:val="0"/>
                <w:i w:val="0"/>
                <w:strike w:val="0"/>
                <w:color w:val="000000"/>
                <w:sz w:val="24"/>
                <w:u w:val="none"/>
              </w:rPr>
              <w:t>26农发11</w:t>
            </w:r>
          </w:p>
        </w:tc>
        <w:tc>
          <w:tcPr>
            <w:tcW w:w="2693" w:type="dxa"/>
            <w:shd w:val="clear" w:color="auto" w:fill="auto"/>
            <w:vAlign w:val="center"/>
          </w:tcPr>
          <w:p w14:paraId="2005B82B">
            <w:pPr>
              <w:ind w:hanging="1"/>
              <w:jc w:val="right"/>
              <w:rPr>
                <w:rFonts w:ascii="宋体" w:hAnsi="宋体" w:cs="宋体"/>
                <w:color w:val="000000"/>
                <w:sz w:val="24"/>
                <w:szCs w:val="24"/>
              </w:rPr>
            </w:pPr>
            <w:r>
              <w:rPr>
                <w:rFonts w:ascii="宋体" w:hAnsi="宋体" w:cs="宋体"/>
                <w:b w:val="0"/>
                <w:i w:val="0"/>
                <w:strike w:val="0"/>
                <w:color w:val="000000"/>
                <w:sz w:val="24"/>
                <w:u w:val="none"/>
              </w:rPr>
              <w:t>20,096,490.68</w:t>
            </w:r>
          </w:p>
        </w:tc>
        <w:tc>
          <w:tcPr>
            <w:tcW w:w="2431" w:type="dxa"/>
            <w:shd w:val="clear" w:color="auto" w:fill="auto"/>
            <w:vAlign w:val="center"/>
          </w:tcPr>
          <w:p w14:paraId="1C6A2433">
            <w:pPr>
              <w:ind w:hanging="1"/>
              <w:jc w:val="right"/>
              <w:rPr>
                <w:rFonts w:ascii="宋体" w:hAnsi="宋体" w:cs="宋体"/>
                <w:color w:val="000000"/>
                <w:sz w:val="24"/>
                <w:szCs w:val="24"/>
              </w:rPr>
            </w:pPr>
            <w:r>
              <w:rPr>
                <w:rFonts w:ascii="宋体" w:hAnsi="宋体" w:cs="宋体"/>
                <w:b w:val="0"/>
                <w:i w:val="0"/>
                <w:strike w:val="0"/>
                <w:color w:val="000000"/>
                <w:sz w:val="24"/>
                <w:u w:val="none"/>
              </w:rPr>
              <w:t>5.19</w:t>
            </w:r>
          </w:p>
        </w:tc>
      </w:tr>
      <w:tr w14:paraId="7DB45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F6E8992">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7</w:t>
            </w:r>
          </w:p>
        </w:tc>
        <w:tc>
          <w:tcPr>
            <w:tcW w:w="3159" w:type="dxa"/>
            <w:shd w:val="clear" w:color="auto" w:fill="auto"/>
            <w:vAlign w:val="center"/>
          </w:tcPr>
          <w:p w14:paraId="4B27AD6D">
            <w:pPr>
              <w:ind w:hanging="1"/>
              <w:jc w:val="left"/>
              <w:rPr>
                <w:rFonts w:ascii="宋体" w:hAnsi="宋体" w:cs="宋体"/>
                <w:color w:val="000000"/>
                <w:sz w:val="24"/>
                <w:szCs w:val="24"/>
              </w:rPr>
            </w:pPr>
            <w:r>
              <w:rPr>
                <w:rFonts w:ascii="宋体" w:hAnsi="宋体" w:cs="宋体"/>
                <w:b w:val="0"/>
                <w:i w:val="0"/>
                <w:strike w:val="0"/>
                <w:color w:val="000000"/>
                <w:sz w:val="24"/>
                <w:u w:val="none"/>
              </w:rPr>
              <w:t>25西公01</w:t>
            </w:r>
          </w:p>
        </w:tc>
        <w:tc>
          <w:tcPr>
            <w:tcW w:w="2693" w:type="dxa"/>
            <w:shd w:val="clear" w:color="auto" w:fill="auto"/>
            <w:vAlign w:val="center"/>
          </w:tcPr>
          <w:p w14:paraId="53186666">
            <w:pPr>
              <w:ind w:hanging="1"/>
              <w:jc w:val="right"/>
              <w:rPr>
                <w:rFonts w:ascii="宋体" w:hAnsi="宋体" w:cs="宋体"/>
                <w:color w:val="000000"/>
                <w:sz w:val="24"/>
                <w:szCs w:val="24"/>
              </w:rPr>
            </w:pPr>
            <w:r>
              <w:rPr>
                <w:rFonts w:ascii="宋体" w:hAnsi="宋体" w:cs="宋体"/>
                <w:b w:val="0"/>
                <w:i w:val="0"/>
                <w:strike w:val="0"/>
                <w:color w:val="000000"/>
                <w:sz w:val="24"/>
                <w:u w:val="none"/>
              </w:rPr>
              <w:t>15,372,669.66</w:t>
            </w:r>
          </w:p>
        </w:tc>
        <w:tc>
          <w:tcPr>
            <w:tcW w:w="2431" w:type="dxa"/>
            <w:shd w:val="clear" w:color="auto" w:fill="auto"/>
            <w:vAlign w:val="center"/>
          </w:tcPr>
          <w:p w14:paraId="798BA076">
            <w:pPr>
              <w:ind w:hanging="1"/>
              <w:jc w:val="right"/>
              <w:rPr>
                <w:rFonts w:ascii="宋体" w:hAnsi="宋体" w:cs="宋体"/>
                <w:color w:val="000000"/>
                <w:sz w:val="24"/>
                <w:szCs w:val="24"/>
              </w:rPr>
            </w:pPr>
            <w:r>
              <w:rPr>
                <w:rFonts w:ascii="宋体" w:hAnsi="宋体" w:cs="宋体"/>
                <w:b w:val="0"/>
                <w:i w:val="0"/>
                <w:strike w:val="0"/>
                <w:color w:val="000000"/>
                <w:sz w:val="24"/>
                <w:u w:val="none"/>
              </w:rPr>
              <w:t>3.97</w:t>
            </w:r>
          </w:p>
        </w:tc>
      </w:tr>
      <w:tr w14:paraId="678AD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6BC8D3C">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8</w:t>
            </w:r>
          </w:p>
        </w:tc>
        <w:tc>
          <w:tcPr>
            <w:tcW w:w="3159" w:type="dxa"/>
            <w:shd w:val="clear" w:color="auto" w:fill="auto"/>
            <w:vAlign w:val="center"/>
          </w:tcPr>
          <w:p w14:paraId="359E66B0">
            <w:pPr>
              <w:ind w:hanging="1"/>
              <w:jc w:val="left"/>
              <w:rPr>
                <w:rFonts w:ascii="宋体" w:hAnsi="宋体" w:cs="宋体"/>
                <w:color w:val="000000"/>
                <w:sz w:val="24"/>
                <w:szCs w:val="24"/>
              </w:rPr>
            </w:pPr>
            <w:r>
              <w:rPr>
                <w:rFonts w:ascii="宋体" w:hAnsi="宋体" w:cs="宋体"/>
                <w:b w:val="0"/>
                <w:i w:val="0"/>
                <w:strike w:val="0"/>
                <w:color w:val="000000"/>
                <w:sz w:val="24"/>
                <w:u w:val="none"/>
              </w:rPr>
              <w:t>山重05A2</w:t>
            </w:r>
          </w:p>
        </w:tc>
        <w:tc>
          <w:tcPr>
            <w:tcW w:w="2693" w:type="dxa"/>
            <w:shd w:val="clear" w:color="auto" w:fill="auto"/>
            <w:vAlign w:val="center"/>
          </w:tcPr>
          <w:p w14:paraId="0CEFB809">
            <w:pPr>
              <w:ind w:hanging="1"/>
              <w:jc w:val="right"/>
              <w:rPr>
                <w:rFonts w:ascii="宋体" w:hAnsi="宋体" w:cs="宋体"/>
                <w:color w:val="000000"/>
                <w:sz w:val="24"/>
                <w:szCs w:val="24"/>
              </w:rPr>
            </w:pPr>
            <w:r>
              <w:rPr>
                <w:rFonts w:ascii="宋体" w:hAnsi="宋体" w:cs="宋体"/>
                <w:b w:val="0"/>
                <w:i w:val="0"/>
                <w:strike w:val="0"/>
                <w:color w:val="000000"/>
                <w:sz w:val="24"/>
                <w:u w:val="none"/>
              </w:rPr>
              <w:t>15,071,380.89</w:t>
            </w:r>
          </w:p>
        </w:tc>
        <w:tc>
          <w:tcPr>
            <w:tcW w:w="2431" w:type="dxa"/>
            <w:shd w:val="clear" w:color="auto" w:fill="auto"/>
            <w:vAlign w:val="center"/>
          </w:tcPr>
          <w:p w14:paraId="576F6CD5">
            <w:pPr>
              <w:ind w:hanging="1"/>
              <w:jc w:val="right"/>
              <w:rPr>
                <w:rFonts w:ascii="宋体" w:hAnsi="宋体" w:cs="宋体"/>
                <w:color w:val="000000"/>
                <w:sz w:val="24"/>
                <w:szCs w:val="24"/>
              </w:rPr>
            </w:pPr>
            <w:r>
              <w:rPr>
                <w:rFonts w:ascii="宋体" w:hAnsi="宋体" w:cs="宋体"/>
                <w:b w:val="0"/>
                <w:i w:val="0"/>
                <w:strike w:val="0"/>
                <w:color w:val="000000"/>
                <w:sz w:val="24"/>
                <w:u w:val="none"/>
              </w:rPr>
              <w:t>3.89</w:t>
            </w:r>
          </w:p>
        </w:tc>
      </w:tr>
      <w:tr w14:paraId="40294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278CC7">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9</w:t>
            </w:r>
          </w:p>
        </w:tc>
        <w:tc>
          <w:tcPr>
            <w:tcW w:w="3159" w:type="dxa"/>
            <w:shd w:val="clear" w:color="auto" w:fill="auto"/>
            <w:vAlign w:val="center"/>
          </w:tcPr>
          <w:p w14:paraId="26052F3E">
            <w:pPr>
              <w:ind w:hanging="1"/>
              <w:jc w:val="left"/>
              <w:rPr>
                <w:rFonts w:ascii="宋体" w:hAnsi="宋体" w:cs="宋体"/>
                <w:color w:val="000000"/>
                <w:sz w:val="24"/>
                <w:szCs w:val="24"/>
              </w:rPr>
            </w:pPr>
            <w:r>
              <w:rPr>
                <w:rFonts w:ascii="宋体" w:hAnsi="宋体" w:cs="宋体"/>
                <w:b w:val="0"/>
                <w:i w:val="0"/>
                <w:strike w:val="0"/>
                <w:color w:val="000000"/>
                <w:sz w:val="24"/>
                <w:u w:val="none"/>
              </w:rPr>
              <w:t>24乳山01</w:t>
            </w:r>
          </w:p>
        </w:tc>
        <w:tc>
          <w:tcPr>
            <w:tcW w:w="2693" w:type="dxa"/>
            <w:shd w:val="clear" w:color="auto" w:fill="auto"/>
            <w:vAlign w:val="center"/>
          </w:tcPr>
          <w:p w14:paraId="4A4C9F1C">
            <w:pPr>
              <w:ind w:hanging="1"/>
              <w:jc w:val="right"/>
              <w:rPr>
                <w:rFonts w:ascii="宋体" w:hAnsi="宋体" w:cs="宋体"/>
                <w:color w:val="000000"/>
                <w:sz w:val="24"/>
                <w:szCs w:val="24"/>
              </w:rPr>
            </w:pPr>
            <w:r>
              <w:rPr>
                <w:rFonts w:ascii="宋体" w:hAnsi="宋体" w:cs="宋体"/>
                <w:b w:val="0"/>
                <w:i w:val="0"/>
                <w:strike w:val="0"/>
                <w:color w:val="000000"/>
                <w:sz w:val="24"/>
                <w:u w:val="none"/>
              </w:rPr>
              <w:t>10,707,076.30</w:t>
            </w:r>
          </w:p>
        </w:tc>
        <w:tc>
          <w:tcPr>
            <w:tcW w:w="2431" w:type="dxa"/>
            <w:shd w:val="clear" w:color="auto" w:fill="auto"/>
            <w:vAlign w:val="center"/>
          </w:tcPr>
          <w:p w14:paraId="6A706417">
            <w:pPr>
              <w:ind w:hanging="1"/>
              <w:jc w:val="right"/>
              <w:rPr>
                <w:rFonts w:ascii="宋体" w:hAnsi="宋体" w:cs="宋体"/>
                <w:color w:val="000000"/>
                <w:sz w:val="24"/>
                <w:szCs w:val="24"/>
              </w:rPr>
            </w:pPr>
            <w:r>
              <w:rPr>
                <w:rFonts w:ascii="宋体" w:hAnsi="宋体" w:cs="宋体"/>
                <w:b w:val="0"/>
                <w:i w:val="0"/>
                <w:strike w:val="0"/>
                <w:color w:val="000000"/>
                <w:sz w:val="24"/>
                <w:u w:val="none"/>
              </w:rPr>
              <w:t>2.77</w:t>
            </w:r>
          </w:p>
        </w:tc>
      </w:tr>
      <w:tr w14:paraId="41E4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DD95E90">
            <w:pPr>
              <w:ind w:hanging="1"/>
              <w:jc w:val="center"/>
              <w:rPr>
                <w:rFonts w:ascii="宋体" w:hAnsi="宋体" w:cs="宋体"/>
                <w:color w:val="000000"/>
                <w:sz w:val="24"/>
                <w:szCs w:val="24"/>
              </w:rPr>
            </w:pPr>
            <w:r>
              <w:rPr>
                <w:rFonts w:hint="eastAsia" w:ascii="宋体" w:hAnsi="宋体" w:cs="宋体"/>
                <w:b w:val="0"/>
                <w:i w:val="0"/>
                <w:strike w:val="0"/>
                <w:color w:val="000000"/>
                <w:sz w:val="24"/>
                <w:u w:val="none"/>
              </w:rPr>
              <w:t>10</w:t>
            </w:r>
          </w:p>
        </w:tc>
        <w:tc>
          <w:tcPr>
            <w:tcW w:w="3159" w:type="dxa"/>
            <w:shd w:val="clear" w:color="auto" w:fill="auto"/>
            <w:vAlign w:val="center"/>
          </w:tcPr>
          <w:p w14:paraId="6333F241">
            <w:pPr>
              <w:ind w:hanging="1"/>
              <w:jc w:val="left"/>
              <w:rPr>
                <w:rFonts w:ascii="宋体" w:hAnsi="宋体" w:cs="宋体"/>
                <w:color w:val="000000"/>
                <w:sz w:val="24"/>
                <w:szCs w:val="24"/>
              </w:rPr>
            </w:pPr>
            <w:r>
              <w:rPr>
                <w:rFonts w:ascii="宋体" w:hAnsi="宋体" w:cs="宋体"/>
                <w:b w:val="0"/>
                <w:i w:val="0"/>
                <w:strike w:val="0"/>
                <w:color w:val="000000"/>
                <w:sz w:val="24"/>
                <w:u w:val="none"/>
              </w:rPr>
              <w:t>23中城01</w:t>
            </w:r>
          </w:p>
        </w:tc>
        <w:tc>
          <w:tcPr>
            <w:tcW w:w="2693" w:type="dxa"/>
            <w:shd w:val="clear" w:color="auto" w:fill="auto"/>
            <w:vAlign w:val="center"/>
          </w:tcPr>
          <w:p w14:paraId="0BE83871">
            <w:pPr>
              <w:ind w:hanging="1"/>
              <w:jc w:val="right"/>
              <w:rPr>
                <w:rFonts w:ascii="宋体" w:hAnsi="宋体" w:cs="宋体"/>
                <w:color w:val="000000"/>
                <w:sz w:val="24"/>
                <w:szCs w:val="24"/>
              </w:rPr>
            </w:pPr>
            <w:r>
              <w:rPr>
                <w:rFonts w:ascii="宋体" w:hAnsi="宋体" w:cs="宋体"/>
                <w:b w:val="0"/>
                <w:i w:val="0"/>
                <w:strike w:val="0"/>
                <w:color w:val="000000"/>
                <w:sz w:val="24"/>
                <w:u w:val="none"/>
              </w:rPr>
              <w:t>10,459,280.14</w:t>
            </w:r>
          </w:p>
        </w:tc>
        <w:tc>
          <w:tcPr>
            <w:tcW w:w="2431" w:type="dxa"/>
            <w:shd w:val="clear" w:color="auto" w:fill="auto"/>
            <w:vAlign w:val="center"/>
          </w:tcPr>
          <w:p w14:paraId="04002C49">
            <w:pPr>
              <w:ind w:hanging="1"/>
              <w:jc w:val="right"/>
              <w:rPr>
                <w:rFonts w:ascii="宋体" w:hAnsi="宋体" w:cs="宋体"/>
                <w:color w:val="000000"/>
                <w:sz w:val="24"/>
                <w:szCs w:val="24"/>
              </w:rPr>
            </w:pPr>
            <w:r>
              <w:rPr>
                <w:rFonts w:ascii="宋体" w:hAnsi="宋体" w:cs="宋体"/>
                <w:b w:val="0"/>
                <w:i w:val="0"/>
                <w:strike w:val="0"/>
                <w:color w:val="000000"/>
                <w:sz w:val="24"/>
                <w:u w:val="none"/>
              </w:rPr>
              <w:t>2.70</w:t>
            </w:r>
          </w:p>
        </w:tc>
      </w:tr>
    </w:tbl>
    <w:p w14:paraId="3E8D9DD9">
      <w:pPr>
        <w:rPr>
          <w:rFonts w:ascii="宋体" w:hAnsi="宋体"/>
          <w:sz w:val="24"/>
        </w:rPr>
      </w:pPr>
      <w:r>
        <w:rPr>
          <w:rFonts w:hint="eastAsia" w:ascii="宋体" w:hAnsi="宋体"/>
          <w:sz w:val="24"/>
        </w:rPr>
        <w:t xml:space="preserve"> </w:t>
      </w:r>
    </w:p>
    <w:p w14:paraId="55868A57">
      <w:pPr>
        <w:spacing w:line="360" w:lineRule="auto"/>
        <w:ind w:right="-107" w:rightChars="-51" w:firstLine="420"/>
        <w:jc w:val="left"/>
        <w:rPr>
          <w:rFonts w:ascii="宋体" w:hAnsi="宋体" w:cs="宋体"/>
          <w:color w:val="000000"/>
          <w:sz w:val="24"/>
          <w:szCs w:val="24"/>
        </w:rPr>
      </w:pPr>
      <w:r>
        <w:rPr>
          <w:rFonts w:hint="eastAsia" w:ascii="宋体" w:hAnsi="宋体" w:cs="宋体"/>
          <w:color w:val="000000"/>
          <w:sz w:val="24"/>
          <w:szCs w:val="24"/>
        </w:rPr>
        <w:t>注：前十项资产明细仅包含证券投资、场外投资，不包含银行存款、存出保证金、清算备付金等资产。</w:t>
      </w:r>
    </w:p>
    <w:p w14:paraId="25B0C712">
      <w:pPr>
        <w:jc w:val="left"/>
        <w:rPr>
          <w:rFonts w:asciiTheme="minorEastAsia" w:hAnsiTheme="minorEastAsia" w:eastAsiaTheme="minorEastAsia"/>
          <w:sz w:val="24"/>
          <w:szCs w:val="24"/>
        </w:rPr>
      </w:pPr>
    </w:p>
    <w:p w14:paraId="79FDC312">
      <w:pPr>
        <w:ind w:left="4" w:leftChars="2"/>
        <w:jc w:val="left"/>
        <w:rPr>
          <w:rFonts w:ascii="宋体" w:hAnsi="宋体"/>
          <w:sz w:val="24"/>
          <w:szCs w:val="24"/>
        </w:rPr>
      </w:pPr>
      <w:r>
        <w:rPr>
          <w:rFonts w:hint="eastAsia" w:ascii="宋体" w:hAnsi="宋体"/>
          <w:sz w:val="24"/>
          <w:szCs w:val="24"/>
        </w:rPr>
        <w:t>4.4 报告期末投资非标准化债权资产情况</w:t>
      </w:r>
    </w:p>
    <w:tbl>
      <w:tblPr>
        <w:tblStyle w:val="17"/>
        <w:tblW w:w="90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992"/>
        <w:gridCol w:w="993"/>
        <w:gridCol w:w="1291"/>
        <w:gridCol w:w="1350"/>
        <w:gridCol w:w="2133"/>
        <w:gridCol w:w="1567"/>
      </w:tblGrid>
      <w:tr w14:paraId="184B8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704" w:type="dxa"/>
            <w:shd w:val="clear" w:color="auto" w:fill="D9D9D9"/>
            <w:vAlign w:val="center"/>
          </w:tcPr>
          <w:p w14:paraId="27473F60">
            <w:pPr>
              <w:rPr>
                <w:rFonts w:ascii="宋体" w:hAnsi="宋体"/>
                <w:b/>
                <w:sz w:val="24"/>
                <w:szCs w:val="24"/>
              </w:rPr>
            </w:pPr>
            <w:r>
              <w:rPr>
                <w:rFonts w:hint="eastAsia" w:ascii="宋体" w:hAnsi="宋体"/>
                <w:b/>
                <w:sz w:val="24"/>
                <w:szCs w:val="24"/>
              </w:rPr>
              <w:t>序号</w:t>
            </w:r>
          </w:p>
        </w:tc>
        <w:tc>
          <w:tcPr>
            <w:tcW w:w="992" w:type="dxa"/>
            <w:shd w:val="clear" w:color="auto" w:fill="D9D9D9"/>
            <w:vAlign w:val="center"/>
          </w:tcPr>
          <w:p w14:paraId="30986ACC">
            <w:pPr>
              <w:jc w:val="left"/>
              <w:rPr>
                <w:rFonts w:ascii="宋体" w:hAnsi="宋体"/>
                <w:b/>
                <w:sz w:val="24"/>
                <w:szCs w:val="24"/>
              </w:rPr>
            </w:pPr>
            <w:r>
              <w:rPr>
                <w:rFonts w:hint="eastAsia" w:ascii="宋体" w:hAnsi="宋体"/>
                <w:b/>
                <w:sz w:val="24"/>
                <w:szCs w:val="24"/>
              </w:rPr>
              <w:t>项目名称</w:t>
            </w:r>
          </w:p>
        </w:tc>
        <w:tc>
          <w:tcPr>
            <w:tcW w:w="993" w:type="dxa"/>
            <w:shd w:val="clear" w:color="auto" w:fill="D9D9D9"/>
            <w:vAlign w:val="center"/>
          </w:tcPr>
          <w:p w14:paraId="0B8DD483">
            <w:pPr>
              <w:jc w:val="left"/>
              <w:rPr>
                <w:rFonts w:ascii="宋体" w:hAnsi="宋体"/>
                <w:b/>
                <w:sz w:val="24"/>
                <w:szCs w:val="24"/>
              </w:rPr>
            </w:pPr>
            <w:r>
              <w:rPr>
                <w:rFonts w:hint="eastAsia" w:ascii="宋体" w:hAnsi="宋体"/>
                <w:b/>
                <w:sz w:val="24"/>
                <w:szCs w:val="24"/>
              </w:rPr>
              <w:t>融资客户</w:t>
            </w:r>
          </w:p>
        </w:tc>
        <w:tc>
          <w:tcPr>
            <w:tcW w:w="1291" w:type="dxa"/>
            <w:shd w:val="clear" w:color="auto" w:fill="D9D9D9"/>
            <w:vAlign w:val="center"/>
          </w:tcPr>
          <w:p w14:paraId="7CF8A178">
            <w:pPr>
              <w:jc w:val="left"/>
              <w:rPr>
                <w:rFonts w:ascii="宋体" w:hAnsi="宋体"/>
                <w:b/>
                <w:sz w:val="24"/>
                <w:szCs w:val="24"/>
              </w:rPr>
            </w:pPr>
            <w:r>
              <w:rPr>
                <w:rFonts w:hint="eastAsia" w:ascii="宋体" w:hAnsi="宋体"/>
                <w:b/>
                <w:sz w:val="24"/>
                <w:szCs w:val="24"/>
              </w:rPr>
              <w:t>剩余融资期限（天）</w:t>
            </w:r>
          </w:p>
        </w:tc>
        <w:tc>
          <w:tcPr>
            <w:tcW w:w="1350" w:type="dxa"/>
            <w:shd w:val="clear" w:color="auto" w:fill="D9D9D9"/>
            <w:vAlign w:val="center"/>
          </w:tcPr>
          <w:p w14:paraId="211B100E">
            <w:pPr>
              <w:jc w:val="left"/>
              <w:rPr>
                <w:rFonts w:ascii="宋体" w:hAnsi="宋体"/>
                <w:b/>
                <w:sz w:val="24"/>
                <w:szCs w:val="24"/>
              </w:rPr>
            </w:pPr>
            <w:r>
              <w:rPr>
                <w:rFonts w:hint="eastAsia" w:ascii="宋体" w:hAnsi="宋体"/>
                <w:b/>
                <w:sz w:val="24"/>
                <w:szCs w:val="24"/>
              </w:rPr>
              <w:t>到期收益分配</w:t>
            </w:r>
          </w:p>
        </w:tc>
        <w:tc>
          <w:tcPr>
            <w:tcW w:w="2133" w:type="dxa"/>
            <w:shd w:val="clear" w:color="auto" w:fill="D9D9D9"/>
            <w:vAlign w:val="center"/>
          </w:tcPr>
          <w:p w14:paraId="58992969">
            <w:pPr>
              <w:jc w:val="left"/>
              <w:rPr>
                <w:rFonts w:ascii="宋体" w:hAnsi="宋体"/>
                <w:b/>
                <w:sz w:val="24"/>
                <w:szCs w:val="24"/>
              </w:rPr>
            </w:pPr>
            <w:r>
              <w:rPr>
                <w:rFonts w:hint="eastAsia" w:ascii="宋体" w:hAnsi="宋体"/>
                <w:b/>
                <w:sz w:val="24"/>
                <w:szCs w:val="24"/>
              </w:rPr>
              <w:t>交易结构</w:t>
            </w:r>
          </w:p>
        </w:tc>
        <w:tc>
          <w:tcPr>
            <w:tcW w:w="1567" w:type="dxa"/>
            <w:shd w:val="clear" w:color="auto" w:fill="D9D9D9"/>
            <w:vAlign w:val="center"/>
          </w:tcPr>
          <w:p w14:paraId="2031470E">
            <w:pPr>
              <w:jc w:val="left"/>
              <w:rPr>
                <w:rFonts w:ascii="宋体" w:hAnsi="宋体"/>
                <w:b/>
                <w:sz w:val="24"/>
                <w:szCs w:val="24"/>
              </w:rPr>
            </w:pPr>
            <w:r>
              <w:rPr>
                <w:rFonts w:hint="eastAsia" w:ascii="宋体" w:hAnsi="宋体"/>
                <w:b/>
                <w:sz w:val="24"/>
                <w:szCs w:val="24"/>
              </w:rPr>
              <w:t>风险状况</w:t>
            </w:r>
          </w:p>
        </w:tc>
      </w:tr>
      <w:tr w14:paraId="0D1A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704" w:type="dxa"/>
            <w:shd w:val="clear" w:color="auto" w:fill="auto"/>
            <w:vAlign w:val="center"/>
          </w:tcPr>
          <w:p w14:paraId="59278A05">
            <w:pPr>
              <w:jc w:val="center"/>
              <w:rPr>
                <w:rFonts w:ascii="宋体" w:hAnsi="宋体" w:cs="宋体"/>
                <w:color w:val="000000"/>
                <w:sz w:val="24"/>
                <w:szCs w:val="24"/>
              </w:rPr>
            </w:pPr>
          </w:p>
        </w:tc>
        <w:tc>
          <w:tcPr>
            <w:tcW w:w="992" w:type="dxa"/>
            <w:shd w:val="clear" w:color="auto" w:fill="auto"/>
            <w:vAlign w:val="center"/>
          </w:tcPr>
          <w:p w14:paraId="2A508292">
            <w:pPr>
              <w:rPr>
                <w:rFonts w:ascii="宋体" w:hAnsi="宋体" w:cs="宋体"/>
                <w:color w:val="000000"/>
                <w:sz w:val="24"/>
                <w:szCs w:val="24"/>
              </w:rPr>
            </w:pPr>
          </w:p>
        </w:tc>
        <w:tc>
          <w:tcPr>
            <w:tcW w:w="993" w:type="dxa"/>
            <w:shd w:val="clear" w:color="auto" w:fill="auto"/>
            <w:vAlign w:val="center"/>
          </w:tcPr>
          <w:p w14:paraId="17CCCB78">
            <w:pPr>
              <w:jc w:val="left"/>
              <w:rPr>
                <w:rFonts w:ascii="宋体" w:hAnsi="宋体" w:cs="宋体"/>
                <w:color w:val="000000"/>
                <w:sz w:val="24"/>
                <w:szCs w:val="24"/>
              </w:rPr>
            </w:pPr>
          </w:p>
        </w:tc>
        <w:tc>
          <w:tcPr>
            <w:tcW w:w="1291" w:type="dxa"/>
            <w:shd w:val="clear" w:color="auto" w:fill="auto"/>
            <w:vAlign w:val="center"/>
          </w:tcPr>
          <w:p w14:paraId="6E62384A">
            <w:pPr>
              <w:jc w:val="right"/>
              <w:rPr>
                <w:rFonts w:ascii="宋体" w:hAnsi="宋体" w:cs="宋体"/>
                <w:color w:val="000000"/>
                <w:sz w:val="24"/>
                <w:szCs w:val="24"/>
              </w:rPr>
            </w:pPr>
          </w:p>
        </w:tc>
        <w:tc>
          <w:tcPr>
            <w:tcW w:w="1350" w:type="dxa"/>
            <w:vAlign w:val="center"/>
          </w:tcPr>
          <w:p w14:paraId="06190B64">
            <w:pPr>
              <w:jc w:val="right"/>
              <w:rPr>
                <w:rFonts w:ascii="宋体" w:hAnsi="宋体" w:cs="宋体"/>
                <w:color w:val="000000"/>
                <w:sz w:val="24"/>
                <w:szCs w:val="24"/>
              </w:rPr>
            </w:pPr>
          </w:p>
        </w:tc>
        <w:tc>
          <w:tcPr>
            <w:tcW w:w="2133" w:type="dxa"/>
            <w:vAlign w:val="center"/>
          </w:tcPr>
          <w:p w14:paraId="5519A086">
            <w:pPr>
              <w:jc w:val="left"/>
              <w:rPr>
                <w:rFonts w:ascii="宋体" w:hAnsi="宋体"/>
                <w:sz w:val="24"/>
                <w:szCs w:val="24"/>
              </w:rPr>
            </w:pPr>
          </w:p>
        </w:tc>
        <w:tc>
          <w:tcPr>
            <w:tcW w:w="1567" w:type="dxa"/>
            <w:vAlign w:val="center"/>
          </w:tcPr>
          <w:p w14:paraId="1716DB7A">
            <w:pPr>
              <w:jc w:val="left"/>
              <w:rPr>
                <w:rFonts w:ascii="宋体" w:hAnsi="宋体"/>
                <w:sz w:val="24"/>
                <w:szCs w:val="24"/>
              </w:rPr>
            </w:pPr>
          </w:p>
        </w:tc>
      </w:tr>
    </w:tbl>
    <w:p w14:paraId="03699BD8">
      <w:pPr>
        <w:ind w:left="4" w:leftChars="2"/>
        <w:jc w:val="left"/>
        <w:rPr>
          <w:rFonts w:asciiTheme="minorEastAsia" w:hAnsiTheme="minorEastAsia" w:eastAsiaTheme="minorEastAsia"/>
          <w:szCs w:val="21"/>
        </w:rPr>
      </w:pPr>
    </w:p>
    <w:p w14:paraId="303B0EFA">
      <w:pPr>
        <w:ind w:left="4" w:leftChars="2"/>
        <w:jc w:val="left"/>
        <w:rPr>
          <w:rFonts w:ascii="宋体" w:hAnsi="宋体"/>
          <w:sz w:val="24"/>
          <w:szCs w:val="24"/>
        </w:rPr>
      </w:pPr>
      <w:r>
        <w:rPr>
          <w:rFonts w:hint="eastAsia" w:ascii="宋体" w:hAnsi="宋体" w:cs="宋体"/>
          <w:color w:val="000000"/>
          <w:sz w:val="24"/>
          <w:szCs w:val="24"/>
        </w:rPr>
        <w:t>4.5 产品份额变动</w:t>
      </w:r>
    </w:p>
    <w:p w14:paraId="3ED9A285">
      <w:pPr>
        <w:ind w:left="4" w:leftChars="2"/>
        <w:jc w:val="right"/>
        <w:rPr>
          <w:rFonts w:asciiTheme="minorEastAsia" w:hAnsiTheme="minorEastAsia" w:eastAsiaTheme="minorEastAsia"/>
          <w:szCs w:val="21"/>
        </w:rPr>
      </w:pPr>
      <w:r>
        <w:rPr>
          <w:rFonts w:hint="eastAsia" w:ascii="宋体" w:hAnsi="宋体" w:cs="宋体"/>
          <w:color w:val="000000"/>
          <w:sz w:val="24"/>
          <w:szCs w:val="24"/>
        </w:rPr>
        <w:t>单位：份</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08"/>
      </w:tblGrid>
      <w:tr w14:paraId="26833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72D363BE">
            <w:pPr>
              <w:rPr>
                <w:rFonts w:ascii="宋体" w:hAnsi="宋体" w:cs="宋体"/>
                <w:color w:val="000000"/>
                <w:sz w:val="24"/>
                <w:szCs w:val="24"/>
              </w:rPr>
            </w:pPr>
            <w:r>
              <w:rPr>
                <w:rFonts w:ascii="宋体" w:hAnsi="宋体" w:cs="宋体"/>
                <w:color w:val="000000"/>
                <w:sz w:val="24"/>
                <w:szCs w:val="24"/>
              </w:rPr>
              <w:t>报告期期初产品份额总额</w:t>
            </w:r>
          </w:p>
        </w:tc>
        <w:tc>
          <w:tcPr>
            <w:tcW w:w="6008" w:type="dxa"/>
            <w:tcMar>
              <w:top w:w="0" w:type="dxa"/>
              <w:left w:w="108" w:type="dxa"/>
              <w:bottom w:w="10" w:type="dxa"/>
              <w:right w:w="118" w:type="dxa"/>
            </w:tcMar>
          </w:tcPr>
          <w:p w14:paraId="6F332833">
            <w:pPr>
              <w:jc w:val="right"/>
              <w:rPr>
                <w:rFonts w:ascii="宋体" w:hAnsi="宋体" w:cs="宋体"/>
                <w:color w:val="000000"/>
                <w:sz w:val="24"/>
                <w:szCs w:val="24"/>
              </w:rPr>
            </w:pPr>
            <w:r>
              <w:rPr>
                <w:rFonts w:ascii="宋体" w:hAnsi="宋体" w:cs="宋体"/>
                <w:color w:val="000000"/>
                <w:sz w:val="24"/>
                <w:szCs w:val="24"/>
              </w:rPr>
              <w:t>405,407,275.71</w:t>
            </w:r>
          </w:p>
        </w:tc>
      </w:tr>
      <w:tr w14:paraId="58790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485B8DE6">
            <w:pPr>
              <w:ind w:hanging="1"/>
              <w:jc w:val="left"/>
              <w:rPr>
                <w:rFonts w:ascii="宋体" w:hAnsi="宋体" w:cs="宋体"/>
                <w:color w:val="000000"/>
                <w:sz w:val="24"/>
                <w:szCs w:val="24"/>
              </w:rPr>
            </w:pPr>
            <w:r>
              <w:rPr>
                <w:rFonts w:ascii="宋体" w:hAnsi="宋体" w:cs="宋体"/>
                <w:b w:val="0"/>
                <w:i w:val="0"/>
                <w:strike w:val="0"/>
                <w:color w:val="000000"/>
                <w:sz w:val="24"/>
                <w:u w:val="none"/>
              </w:rPr>
              <w:t>22352A</w:t>
            </w:r>
          </w:p>
        </w:tc>
        <w:tc>
          <w:tcPr>
            <w:tcW w:w="6008" w:type="dxa"/>
            <w:shd w:val="clear" w:color="auto" w:fill="auto"/>
          </w:tcPr>
          <w:p w14:paraId="0EC3941D">
            <w:pPr>
              <w:ind w:hanging="1"/>
              <w:jc w:val="right"/>
              <w:rPr>
                <w:rFonts w:ascii="宋体" w:hAnsi="宋体" w:cs="宋体"/>
                <w:color w:val="000000"/>
                <w:sz w:val="24"/>
                <w:szCs w:val="24"/>
              </w:rPr>
            </w:pPr>
            <w:r>
              <w:rPr>
                <w:rFonts w:ascii="宋体" w:hAnsi="宋体" w:cs="宋体"/>
                <w:b w:val="0"/>
                <w:i w:val="0"/>
                <w:strike w:val="0"/>
                <w:color w:val="000000"/>
                <w:sz w:val="24"/>
                <w:u w:val="none"/>
              </w:rPr>
              <w:t>277,121,017.27</w:t>
            </w:r>
          </w:p>
        </w:tc>
      </w:tr>
      <w:tr w14:paraId="5B323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0A3CE3B9">
            <w:pPr>
              <w:ind w:hanging="1"/>
              <w:jc w:val="left"/>
              <w:rPr>
                <w:rFonts w:ascii="宋体" w:hAnsi="宋体" w:cs="宋体"/>
                <w:color w:val="000000"/>
                <w:sz w:val="24"/>
                <w:szCs w:val="24"/>
              </w:rPr>
            </w:pPr>
            <w:r>
              <w:rPr>
                <w:rFonts w:ascii="宋体" w:hAnsi="宋体" w:cs="宋体"/>
                <w:b w:val="0"/>
                <w:i w:val="0"/>
                <w:strike w:val="0"/>
                <w:color w:val="000000"/>
                <w:sz w:val="24"/>
                <w:u w:val="none"/>
              </w:rPr>
              <w:t>22352B</w:t>
            </w:r>
          </w:p>
        </w:tc>
        <w:tc>
          <w:tcPr>
            <w:tcW w:w="6008" w:type="dxa"/>
            <w:shd w:val="clear" w:color="auto" w:fill="auto"/>
          </w:tcPr>
          <w:p w14:paraId="6BE4BE24">
            <w:pPr>
              <w:ind w:hanging="1"/>
              <w:jc w:val="right"/>
              <w:rPr>
                <w:rFonts w:ascii="宋体" w:hAnsi="宋体" w:cs="宋体"/>
                <w:color w:val="000000"/>
                <w:sz w:val="24"/>
                <w:szCs w:val="24"/>
              </w:rPr>
            </w:pPr>
            <w:r>
              <w:rPr>
                <w:rFonts w:ascii="宋体" w:hAnsi="宋体" w:cs="宋体"/>
                <w:b w:val="0"/>
                <w:i w:val="0"/>
                <w:strike w:val="0"/>
                <w:color w:val="000000"/>
                <w:sz w:val="24"/>
                <w:u w:val="none"/>
              </w:rPr>
              <w:t>128,286,258.44</w:t>
            </w:r>
          </w:p>
        </w:tc>
      </w:tr>
      <w:tr w14:paraId="49499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4F2FD7EF">
            <w:pPr>
              <w:rPr>
                <w:rFonts w:ascii="宋体" w:hAnsi="宋体" w:cs="宋体"/>
                <w:color w:val="000000"/>
                <w:sz w:val="24"/>
                <w:szCs w:val="24"/>
              </w:rPr>
            </w:pPr>
            <w:r>
              <w:rPr>
                <w:rFonts w:ascii="宋体" w:hAnsi="宋体" w:cs="宋体"/>
                <w:color w:val="000000"/>
                <w:sz w:val="24"/>
                <w:szCs w:val="24"/>
              </w:rPr>
              <w:t>报告期期间产品总申购份额</w:t>
            </w:r>
          </w:p>
        </w:tc>
        <w:tc>
          <w:tcPr>
            <w:tcW w:w="6008" w:type="dxa"/>
            <w:tcMar>
              <w:top w:w="0" w:type="dxa"/>
              <w:left w:w="108" w:type="dxa"/>
              <w:bottom w:w="10" w:type="dxa"/>
              <w:right w:w="118" w:type="dxa"/>
            </w:tcMar>
          </w:tcPr>
          <w:p w14:paraId="14F92F27">
            <w:pPr>
              <w:jc w:val="right"/>
              <w:rPr>
                <w:rFonts w:ascii="宋体" w:hAnsi="宋体" w:cs="宋体"/>
                <w:color w:val="000000"/>
                <w:sz w:val="24"/>
                <w:szCs w:val="24"/>
              </w:rPr>
            </w:pPr>
            <w:r>
              <w:rPr>
                <w:rFonts w:ascii="宋体" w:hAnsi="宋体" w:cs="宋体"/>
                <w:color w:val="000000"/>
                <w:sz w:val="24"/>
                <w:szCs w:val="24"/>
              </w:rPr>
              <w:t>147,043,658.09</w:t>
            </w:r>
          </w:p>
        </w:tc>
      </w:tr>
      <w:tr w14:paraId="2F233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14C96252">
            <w:pPr>
              <w:rPr>
                <w:rFonts w:ascii="宋体" w:hAnsi="宋体" w:cs="宋体"/>
                <w:color w:val="000000"/>
                <w:sz w:val="24"/>
                <w:szCs w:val="24"/>
              </w:rPr>
            </w:pPr>
            <w:r>
              <w:rPr>
                <w:rFonts w:ascii="宋体" w:hAnsi="宋体" w:cs="宋体"/>
                <w:color w:val="000000"/>
                <w:sz w:val="24"/>
                <w:szCs w:val="24"/>
              </w:rPr>
              <w:t>报告期期间产品总赎回份额</w:t>
            </w:r>
          </w:p>
        </w:tc>
        <w:tc>
          <w:tcPr>
            <w:tcW w:w="6008" w:type="dxa"/>
            <w:tcMar>
              <w:top w:w="0" w:type="dxa"/>
              <w:left w:w="108" w:type="dxa"/>
              <w:bottom w:w="10" w:type="dxa"/>
              <w:right w:w="118" w:type="dxa"/>
            </w:tcMar>
          </w:tcPr>
          <w:p w14:paraId="164DDC65">
            <w:pPr>
              <w:jc w:val="right"/>
              <w:rPr>
                <w:rFonts w:ascii="宋体" w:hAnsi="宋体" w:cs="宋体"/>
                <w:color w:val="000000"/>
                <w:sz w:val="24"/>
                <w:szCs w:val="24"/>
              </w:rPr>
            </w:pPr>
            <w:r>
              <w:rPr>
                <w:rFonts w:ascii="宋体" w:hAnsi="宋体" w:cs="宋体"/>
                <w:color w:val="000000"/>
                <w:sz w:val="24"/>
                <w:szCs w:val="24"/>
              </w:rPr>
              <w:t>-203,626,644.82</w:t>
            </w:r>
          </w:p>
        </w:tc>
      </w:tr>
      <w:tr w14:paraId="669F4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tcMar>
              <w:top w:w="0" w:type="dxa"/>
              <w:left w:w="118" w:type="dxa"/>
              <w:bottom w:w="10" w:type="dxa"/>
              <w:right w:w="118" w:type="dxa"/>
            </w:tcMar>
          </w:tcPr>
          <w:p w14:paraId="6588AA25">
            <w:pPr>
              <w:rPr>
                <w:rFonts w:ascii="宋体" w:hAnsi="宋体" w:cs="宋体"/>
                <w:color w:val="000000"/>
                <w:sz w:val="24"/>
                <w:szCs w:val="24"/>
              </w:rPr>
            </w:pPr>
            <w:r>
              <w:rPr>
                <w:rFonts w:ascii="宋体" w:hAnsi="宋体" w:cs="宋体"/>
                <w:color w:val="000000"/>
                <w:sz w:val="24"/>
                <w:szCs w:val="24"/>
              </w:rPr>
              <w:t>报告期期末产品份额总额</w:t>
            </w:r>
          </w:p>
        </w:tc>
        <w:tc>
          <w:tcPr>
            <w:tcW w:w="6008" w:type="dxa"/>
            <w:tcMar>
              <w:top w:w="0" w:type="dxa"/>
              <w:left w:w="108" w:type="dxa"/>
              <w:bottom w:w="10" w:type="dxa"/>
              <w:right w:w="118" w:type="dxa"/>
            </w:tcMar>
          </w:tcPr>
          <w:p w14:paraId="6E63AB91">
            <w:pPr>
              <w:jc w:val="right"/>
              <w:rPr>
                <w:rFonts w:ascii="宋体" w:hAnsi="宋体" w:cs="宋体"/>
                <w:color w:val="000000"/>
                <w:sz w:val="24"/>
                <w:szCs w:val="24"/>
              </w:rPr>
            </w:pPr>
            <w:r>
              <w:rPr>
                <w:rFonts w:ascii="宋体" w:hAnsi="宋体" w:cs="宋体"/>
                <w:color w:val="000000"/>
                <w:sz w:val="24"/>
                <w:szCs w:val="24"/>
              </w:rPr>
              <w:t>348,824,288.98</w:t>
            </w:r>
          </w:p>
        </w:tc>
      </w:tr>
      <w:tr w14:paraId="1A28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59623123">
            <w:pPr>
              <w:ind w:hanging="1"/>
              <w:jc w:val="left"/>
              <w:rPr>
                <w:rFonts w:ascii="宋体" w:hAnsi="宋体" w:cs="宋体"/>
                <w:color w:val="000000"/>
                <w:sz w:val="24"/>
                <w:szCs w:val="24"/>
              </w:rPr>
            </w:pPr>
            <w:r>
              <w:rPr>
                <w:rFonts w:ascii="宋体" w:hAnsi="宋体" w:cs="宋体"/>
                <w:b w:val="0"/>
                <w:i w:val="0"/>
                <w:strike w:val="0"/>
                <w:color w:val="000000"/>
                <w:sz w:val="24"/>
                <w:u w:val="none"/>
              </w:rPr>
              <w:t>22352A</w:t>
            </w:r>
          </w:p>
        </w:tc>
        <w:tc>
          <w:tcPr>
            <w:tcW w:w="6008" w:type="dxa"/>
            <w:shd w:val="clear" w:color="auto" w:fill="auto"/>
          </w:tcPr>
          <w:p w14:paraId="7088E933">
            <w:pPr>
              <w:ind w:hanging="1"/>
              <w:jc w:val="right"/>
              <w:rPr>
                <w:rFonts w:ascii="宋体" w:hAnsi="宋体" w:cs="宋体"/>
                <w:color w:val="000000"/>
                <w:sz w:val="24"/>
                <w:szCs w:val="24"/>
              </w:rPr>
            </w:pPr>
            <w:r>
              <w:rPr>
                <w:rFonts w:ascii="宋体" w:hAnsi="宋体" w:cs="宋体"/>
                <w:b w:val="0"/>
                <w:i w:val="0"/>
                <w:strike w:val="0"/>
                <w:color w:val="000000"/>
                <w:sz w:val="24"/>
                <w:u w:val="none"/>
              </w:rPr>
              <w:t>237,485,852.37</w:t>
            </w:r>
          </w:p>
        </w:tc>
      </w:tr>
      <w:tr w14:paraId="088B4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972" w:type="dxa"/>
            <w:shd w:val="clear" w:color="auto" w:fill="auto"/>
          </w:tcPr>
          <w:p w14:paraId="1261AE2F">
            <w:pPr>
              <w:ind w:hanging="1"/>
              <w:jc w:val="left"/>
              <w:rPr>
                <w:rFonts w:ascii="宋体" w:hAnsi="宋体" w:cs="宋体"/>
                <w:color w:val="000000"/>
                <w:sz w:val="24"/>
                <w:szCs w:val="24"/>
              </w:rPr>
            </w:pPr>
            <w:r>
              <w:rPr>
                <w:rFonts w:ascii="宋体" w:hAnsi="宋体" w:cs="宋体"/>
                <w:b w:val="0"/>
                <w:i w:val="0"/>
                <w:strike w:val="0"/>
                <w:color w:val="000000"/>
                <w:sz w:val="24"/>
                <w:u w:val="none"/>
              </w:rPr>
              <w:t>22352B</w:t>
            </w:r>
          </w:p>
        </w:tc>
        <w:tc>
          <w:tcPr>
            <w:tcW w:w="6008" w:type="dxa"/>
            <w:shd w:val="clear" w:color="auto" w:fill="auto"/>
          </w:tcPr>
          <w:p w14:paraId="66D184D0">
            <w:pPr>
              <w:ind w:hanging="1"/>
              <w:jc w:val="right"/>
              <w:rPr>
                <w:rFonts w:ascii="宋体" w:hAnsi="宋体" w:cs="宋体"/>
                <w:color w:val="000000"/>
                <w:sz w:val="24"/>
                <w:szCs w:val="24"/>
              </w:rPr>
            </w:pPr>
            <w:r>
              <w:rPr>
                <w:rFonts w:ascii="宋体" w:hAnsi="宋体" w:cs="宋体"/>
                <w:b w:val="0"/>
                <w:i w:val="0"/>
                <w:strike w:val="0"/>
                <w:color w:val="000000"/>
                <w:sz w:val="24"/>
                <w:u w:val="none"/>
              </w:rPr>
              <w:t>111,338,436.61</w:t>
            </w:r>
          </w:p>
        </w:tc>
      </w:tr>
    </w:tbl>
    <w:p w14:paraId="214F2169">
      <w:pPr>
        <w:spacing w:line="360" w:lineRule="auto"/>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4.6 投资账户信息</w:t>
      </w:r>
    </w:p>
    <w:tbl>
      <w:tblPr>
        <w:tblStyle w:val="1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838"/>
        <w:gridCol w:w="1734"/>
        <w:gridCol w:w="3818"/>
      </w:tblGrid>
      <w:tr w14:paraId="78538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6B589D64">
            <w:pP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账户类型</w:t>
            </w:r>
          </w:p>
        </w:tc>
        <w:tc>
          <w:tcPr>
            <w:tcW w:w="1838" w:type="dxa"/>
            <w:tcMar>
              <w:top w:w="0" w:type="dxa"/>
              <w:left w:w="108" w:type="dxa"/>
              <w:bottom w:w="10" w:type="dxa"/>
              <w:right w:w="118" w:type="dxa"/>
            </w:tcMar>
            <w:vAlign w:val="top"/>
          </w:tcPr>
          <w:p w14:paraId="2677E921">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账户名称</w:t>
            </w:r>
          </w:p>
        </w:tc>
        <w:tc>
          <w:tcPr>
            <w:tcW w:w="1734" w:type="dxa"/>
            <w:tcMar>
              <w:top w:w="0" w:type="dxa"/>
              <w:left w:w="108" w:type="dxa"/>
              <w:bottom w:w="10" w:type="dxa"/>
              <w:right w:w="118" w:type="dxa"/>
            </w:tcMar>
            <w:vAlign w:val="top"/>
          </w:tcPr>
          <w:p w14:paraId="772BA845">
            <w:pPr>
              <w:jc w:val="both"/>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账号</w:t>
            </w:r>
          </w:p>
        </w:tc>
        <w:tc>
          <w:tcPr>
            <w:tcW w:w="3818" w:type="dxa"/>
            <w:tcMar>
              <w:top w:w="0" w:type="dxa"/>
              <w:left w:w="108" w:type="dxa"/>
              <w:bottom w:w="10" w:type="dxa"/>
              <w:right w:w="118" w:type="dxa"/>
            </w:tcMar>
            <w:vAlign w:val="top"/>
          </w:tcPr>
          <w:p w14:paraId="226E2373">
            <w:pPr>
              <w:jc w:val="both"/>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开户行</w:t>
            </w:r>
          </w:p>
        </w:tc>
      </w:tr>
      <w:tr w14:paraId="0EB28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590" w:type="dxa"/>
            <w:tcMar>
              <w:top w:w="0" w:type="dxa"/>
              <w:left w:w="118" w:type="dxa"/>
              <w:bottom w:w="10" w:type="dxa"/>
              <w:right w:w="118" w:type="dxa"/>
            </w:tcMar>
          </w:tcPr>
          <w:p w14:paraId="2702878D">
            <w:pPr>
              <w:rPr>
                <w:rFonts w:hint="eastAsia" w:ascii="宋体" w:hAnsi="宋体" w:eastAsia="宋体" w:cs="宋体"/>
                <w:color w:val="000000"/>
                <w:sz w:val="24"/>
                <w:szCs w:val="24"/>
                <w:lang w:val="en-US" w:eastAsia="zh-CN"/>
              </w:rPr>
            </w:pPr>
            <w:r>
              <w:rPr>
                <w:rFonts w:hint="eastAsia" w:ascii="宋体" w:hAnsi="宋体" w:cs="宋体"/>
                <w:color w:val="000000"/>
                <w:sz w:val="24"/>
                <w:szCs w:val="24"/>
                <w:lang w:val="en-US" w:eastAsia="zh-CN"/>
              </w:rPr>
              <w:t>托管账户</w:t>
            </w:r>
          </w:p>
        </w:tc>
        <w:tc>
          <w:tcPr>
            <w:tcW w:w="1838" w:type="dxa"/>
            <w:tcMar>
              <w:top w:w="0" w:type="dxa"/>
              <w:left w:w="108" w:type="dxa"/>
              <w:bottom w:w="10" w:type="dxa"/>
              <w:right w:w="118" w:type="dxa"/>
            </w:tcMar>
            <w:vAlign w:val="center"/>
          </w:tcPr>
          <w:p w14:paraId="243908FB">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Style w:val="53"/>
                <w:sz w:val="24"/>
                <w:szCs w:val="24"/>
                <w:lang w:val="en-US" w:eastAsia="zh-CN" w:bidi="ar"/>
              </w:rPr>
              <w:t>齐鲁银行股份有限公司财复盈35天2号</w:t>
            </w:r>
          </w:p>
        </w:tc>
        <w:tc>
          <w:tcPr>
            <w:tcW w:w="1734" w:type="dxa"/>
            <w:tcMar>
              <w:top w:w="0" w:type="dxa"/>
              <w:left w:w="108" w:type="dxa"/>
              <w:bottom w:w="10" w:type="dxa"/>
              <w:right w:w="118" w:type="dxa"/>
            </w:tcMar>
            <w:vAlign w:val="center"/>
          </w:tcPr>
          <w:p w14:paraId="5EFB7F6A">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531902382310415</w:t>
            </w:r>
          </w:p>
        </w:tc>
        <w:tc>
          <w:tcPr>
            <w:tcW w:w="3818" w:type="dxa"/>
            <w:tcMar>
              <w:top w:w="0" w:type="dxa"/>
              <w:left w:w="108" w:type="dxa"/>
              <w:bottom w:w="10" w:type="dxa"/>
              <w:right w:w="118" w:type="dxa"/>
            </w:tcMar>
            <w:vAlign w:val="center"/>
          </w:tcPr>
          <w:p w14:paraId="371421CB">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招商银行济南分行营业部</w:t>
            </w:r>
          </w:p>
        </w:tc>
      </w:tr>
    </w:tbl>
    <w:p w14:paraId="3B8AF4B5">
      <w:pPr>
        <w:spacing w:line="360" w:lineRule="auto"/>
        <w:rPr>
          <w:rFonts w:hint="default" w:ascii="宋体" w:hAnsi="宋体" w:cs="宋体"/>
          <w:color w:val="000000"/>
          <w:sz w:val="24"/>
          <w:szCs w:val="24"/>
          <w:lang w:val="en-US" w:eastAsia="zh-CN"/>
        </w:rPr>
      </w:pPr>
    </w:p>
    <w:p w14:paraId="38FAFCAE">
      <w:pPr>
        <w:spacing w:line="360" w:lineRule="auto"/>
        <w:rPr>
          <w:rFonts w:ascii="宋体" w:hAnsi="宋体" w:cs="宋体"/>
          <w:color w:val="000000"/>
          <w:sz w:val="24"/>
          <w:szCs w:val="24"/>
        </w:rPr>
      </w:pPr>
    </w:p>
    <w:p w14:paraId="21DDFE78">
      <w:pPr>
        <w:jc w:val="center"/>
        <w:rPr>
          <w:rFonts w:ascii="宋体" w:hAnsi="宋体"/>
          <w:bCs/>
          <w:sz w:val="33"/>
          <w:szCs w:val="33"/>
        </w:rPr>
      </w:pPr>
      <w:r>
        <w:rPr>
          <w:rFonts w:hint="eastAsia" w:ascii="宋体" w:hAnsi="宋体"/>
          <w:bCs/>
          <w:sz w:val="33"/>
          <w:szCs w:val="33"/>
        </w:rPr>
        <w:t>5  托管人报告</w:t>
      </w:r>
    </w:p>
    <w:p w14:paraId="7F9F1D39">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5.1托管人履职情况</w:t>
      </w:r>
    </w:p>
    <w:p w14:paraId="5A53B5C6">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5.1.1托管资产保管</w:t>
      </w:r>
    </w:p>
    <w:p w14:paraId="1C1CD32D">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7B9B0FD8">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5.1.2会计核算和估值</w:t>
      </w:r>
    </w:p>
    <w:p w14:paraId="3D5B7F73">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招商银行按照与齐鲁银行股份有限公司在托管协议中约定的统一记账方法和会计处理原则，独立地设置、登录和保管本产品的全套账册，进行会计核算和资产估值。</w:t>
      </w:r>
    </w:p>
    <w:p w14:paraId="65F9D641">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5.1.3定期核对有关数据</w:t>
      </w:r>
    </w:p>
    <w:p w14:paraId="41A3F6B5">
      <w:pPr>
        <w:spacing w:line="360" w:lineRule="auto"/>
        <w:ind w:firstLine="480" w:firstLineChars="200"/>
        <w:rPr>
          <w:rFonts w:hint="eastAsia"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招商银行根据托管协议约定与齐鲁银行股份有限公司或外包机构定期进行账务核对。</w:t>
      </w:r>
    </w:p>
    <w:p w14:paraId="22A4184A">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5.1.4投资监督</w:t>
      </w:r>
    </w:p>
    <w:p w14:paraId="7F0C4E28">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招商银行根据法规、托管协议以及双方约定的投资监督条款，对投资运作情况进行监督。</w:t>
      </w:r>
    </w:p>
    <w:p w14:paraId="470FDA71">
      <w:pPr>
        <w:spacing w:line="360" w:lineRule="auto"/>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5.2托管人声明</w:t>
      </w:r>
    </w:p>
    <w:p w14:paraId="5987FCDB">
      <w:pPr>
        <w:spacing w:line="360" w:lineRule="auto"/>
        <w:ind w:firstLine="480" w:firstLineChars="200"/>
        <w:rPr>
          <w:rFonts w:ascii="宋体" w:hAnsi="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托管人声明：招商银行具备完善的公司治理结构、内部稽核监控制度和风险控制制度，我行在齐鲁银行股份有限公司“泉心理财”</w:t>
      </w:r>
      <w:r>
        <w:rPr>
          <w:rFonts w:hint="eastAsia" w:ascii="宋体" w:hAnsi="宋体" w:cs="宋体"/>
          <w:color w:val="000000"/>
          <w:kern w:val="2"/>
          <w:sz w:val="24"/>
          <w:szCs w:val="24"/>
        </w:rPr>
        <w:t>财复盈35天2号</w:t>
      </w:r>
      <w:r>
        <w:rPr>
          <w:rFonts w:hint="eastAsia" w:ascii="宋体" w:hAnsi="宋体" w:cs="宋体"/>
          <w:color w:val="000000"/>
          <w:sz w:val="24"/>
          <w:szCs w:val="24"/>
          <w:highlight w:val="none"/>
          <w:lang w:val="en-US" w:eastAsia="zh-CN"/>
        </w:rPr>
        <w:t>托管的过程中，严格遵守有关法律法规、托管协议的规定，尽职尽责地履行托管义务并安全保管托管资产。</w:t>
      </w:r>
    </w:p>
    <w:p w14:paraId="70CD7C4E">
      <w:pPr>
        <w:spacing w:line="360" w:lineRule="auto"/>
        <w:ind w:firstLine="420"/>
        <w:rPr>
          <w:rFonts w:ascii="宋体" w:hAnsi="宋体" w:cs="宋体"/>
          <w:color w:val="000000"/>
          <w:sz w:val="24"/>
          <w:szCs w:val="24"/>
        </w:rPr>
      </w:pPr>
    </w:p>
    <w:p w14:paraId="64CE3830">
      <w:pPr>
        <w:spacing w:line="360" w:lineRule="auto"/>
        <w:ind w:firstLine="420"/>
        <w:rPr>
          <w:rFonts w:eastAsia="Times New Roman"/>
        </w:rPr>
      </w:pPr>
      <w:r>
        <w:rPr>
          <w:rFonts w:ascii="Calibri" w:hAnsi="Calibri" w:eastAsia="Calibri" w:cs="Calibri"/>
          <w:szCs w:val="21"/>
        </w:rPr>
        <w:t> </w:t>
      </w:r>
    </w:p>
    <w:p w14:paraId="7F499478">
      <w:pPr>
        <w:jc w:val="right"/>
        <w:rPr>
          <w:rFonts w:ascii="宋体" w:hAnsi="宋体" w:cs="宋体"/>
          <w:color w:val="000000"/>
          <w:sz w:val="24"/>
          <w:szCs w:val="24"/>
        </w:rPr>
      </w:pPr>
      <w:r>
        <w:rPr>
          <w:rFonts w:hint="eastAsia" w:ascii="宋体" w:hAnsi="宋体" w:cs="宋体"/>
          <w:color w:val="000000"/>
          <w:sz w:val="24"/>
          <w:szCs w:val="24"/>
        </w:rPr>
        <w:t>齐鲁银行股份有限公司</w:t>
      </w:r>
    </w:p>
    <w:p w14:paraId="00FF496B">
      <w:pPr>
        <w:ind w:firstLine="400"/>
        <w:jc w:val="right"/>
        <w:rPr>
          <w:rFonts w:ascii="宋体" w:hAnsi="宋体" w:cs="宋体"/>
          <w:color w:val="000000"/>
          <w:sz w:val="24"/>
          <w:szCs w:val="24"/>
        </w:rPr>
      </w:pPr>
      <w:r>
        <w:rPr>
          <w:rFonts w:hint="eastAsia" w:ascii="宋体" w:hAnsi="宋体" w:cs="宋体"/>
          <w:color w:val="000000"/>
          <w:sz w:val="24"/>
          <w:szCs w:val="24"/>
        </w:rPr>
        <w:t>2026-08-29</w:t>
      </w:r>
    </w:p>
    <w:p w14:paraId="65050099">
      <w:pPr>
        <w:jc w:val="right"/>
        <w:rPr>
          <w:rFonts w:ascii="宋体" w:hAnsi="宋体"/>
          <w:sz w:val="28"/>
          <w:szCs w:val="28"/>
        </w:rPr>
      </w:pP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CC70B">
    <w:pPr>
      <w:pStyle w:val="10"/>
      <w:framePr w:wrap="around" w:vAnchor="text" w:hAnchor="margin" w:xAlign="right" w:y="1"/>
      <w:rPr>
        <w:rStyle w:val="20"/>
      </w:rPr>
    </w:pPr>
    <w:r>
      <w:rPr>
        <w:rStyle w:val="20"/>
        <w:rFonts w:hint="eastAsia"/>
      </w:rPr>
      <w:t xml:space="preserve"> </w:t>
    </w:r>
  </w:p>
  <w:p w14:paraId="12F7EEC9">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6CBDF">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0AB7843">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305A"/>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A8"/>
    <w:rsid w:val="000825DB"/>
    <w:rsid w:val="00083139"/>
    <w:rsid w:val="00084444"/>
    <w:rsid w:val="000954BC"/>
    <w:rsid w:val="000957D7"/>
    <w:rsid w:val="00096252"/>
    <w:rsid w:val="000A0247"/>
    <w:rsid w:val="000A1C35"/>
    <w:rsid w:val="000B049B"/>
    <w:rsid w:val="000B12F7"/>
    <w:rsid w:val="000B65EC"/>
    <w:rsid w:val="000C01AC"/>
    <w:rsid w:val="000C0357"/>
    <w:rsid w:val="000C5B47"/>
    <w:rsid w:val="000D078C"/>
    <w:rsid w:val="000D4CEA"/>
    <w:rsid w:val="000D5DDE"/>
    <w:rsid w:val="000E103E"/>
    <w:rsid w:val="000E2280"/>
    <w:rsid w:val="000E5BF4"/>
    <w:rsid w:val="000E7303"/>
    <w:rsid w:val="000E7594"/>
    <w:rsid w:val="000E76D1"/>
    <w:rsid w:val="000E7EE4"/>
    <w:rsid w:val="000F1CA3"/>
    <w:rsid w:val="000F1EB8"/>
    <w:rsid w:val="000F79B4"/>
    <w:rsid w:val="00123DCF"/>
    <w:rsid w:val="001241D2"/>
    <w:rsid w:val="00127EE5"/>
    <w:rsid w:val="00130058"/>
    <w:rsid w:val="001304CE"/>
    <w:rsid w:val="00130B97"/>
    <w:rsid w:val="001318F5"/>
    <w:rsid w:val="00131F63"/>
    <w:rsid w:val="001321D3"/>
    <w:rsid w:val="001367E6"/>
    <w:rsid w:val="0013763A"/>
    <w:rsid w:val="00137F13"/>
    <w:rsid w:val="00140432"/>
    <w:rsid w:val="00142BF7"/>
    <w:rsid w:val="001431D2"/>
    <w:rsid w:val="001438D5"/>
    <w:rsid w:val="001505C2"/>
    <w:rsid w:val="0015110C"/>
    <w:rsid w:val="0015418C"/>
    <w:rsid w:val="001546E3"/>
    <w:rsid w:val="00156CE7"/>
    <w:rsid w:val="001634F8"/>
    <w:rsid w:val="00172A27"/>
    <w:rsid w:val="00175535"/>
    <w:rsid w:val="00176115"/>
    <w:rsid w:val="0019201F"/>
    <w:rsid w:val="00193F23"/>
    <w:rsid w:val="00196688"/>
    <w:rsid w:val="001A6A60"/>
    <w:rsid w:val="001A6DCE"/>
    <w:rsid w:val="001B0D81"/>
    <w:rsid w:val="001B2258"/>
    <w:rsid w:val="001B3575"/>
    <w:rsid w:val="001B43F0"/>
    <w:rsid w:val="001B6489"/>
    <w:rsid w:val="001C4ACD"/>
    <w:rsid w:val="001C5999"/>
    <w:rsid w:val="001D364E"/>
    <w:rsid w:val="001D61DA"/>
    <w:rsid w:val="001E1A37"/>
    <w:rsid w:val="001E27AF"/>
    <w:rsid w:val="001E2A08"/>
    <w:rsid w:val="001E4B7A"/>
    <w:rsid w:val="001E5E17"/>
    <w:rsid w:val="001E7354"/>
    <w:rsid w:val="001E7E3E"/>
    <w:rsid w:val="001F28F0"/>
    <w:rsid w:val="001F4ADC"/>
    <w:rsid w:val="001F5BAE"/>
    <w:rsid w:val="001F7D68"/>
    <w:rsid w:val="00203B47"/>
    <w:rsid w:val="00203F6A"/>
    <w:rsid w:val="00210223"/>
    <w:rsid w:val="0021036E"/>
    <w:rsid w:val="00212735"/>
    <w:rsid w:val="00212AC6"/>
    <w:rsid w:val="00217B81"/>
    <w:rsid w:val="00222DFB"/>
    <w:rsid w:val="00226962"/>
    <w:rsid w:val="00226D1D"/>
    <w:rsid w:val="00226FB5"/>
    <w:rsid w:val="00227C89"/>
    <w:rsid w:val="0024340D"/>
    <w:rsid w:val="00246E06"/>
    <w:rsid w:val="002520E6"/>
    <w:rsid w:val="00254241"/>
    <w:rsid w:val="002543ED"/>
    <w:rsid w:val="002550F8"/>
    <w:rsid w:val="00256F99"/>
    <w:rsid w:val="00261703"/>
    <w:rsid w:val="00265F21"/>
    <w:rsid w:val="002709E9"/>
    <w:rsid w:val="00280418"/>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48"/>
    <w:rsid w:val="00352670"/>
    <w:rsid w:val="00353071"/>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5970"/>
    <w:rsid w:val="00386B5A"/>
    <w:rsid w:val="00391B1F"/>
    <w:rsid w:val="00392524"/>
    <w:rsid w:val="0039364C"/>
    <w:rsid w:val="00393CB1"/>
    <w:rsid w:val="003942F4"/>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64C"/>
    <w:rsid w:val="0041580B"/>
    <w:rsid w:val="00415C27"/>
    <w:rsid w:val="00415F33"/>
    <w:rsid w:val="004169FD"/>
    <w:rsid w:val="00420876"/>
    <w:rsid w:val="0042283D"/>
    <w:rsid w:val="00422CE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31F4"/>
    <w:rsid w:val="00524996"/>
    <w:rsid w:val="00524F71"/>
    <w:rsid w:val="00527A49"/>
    <w:rsid w:val="005310A6"/>
    <w:rsid w:val="0053595B"/>
    <w:rsid w:val="00537901"/>
    <w:rsid w:val="00540DE6"/>
    <w:rsid w:val="00542A91"/>
    <w:rsid w:val="0054387B"/>
    <w:rsid w:val="005465B6"/>
    <w:rsid w:val="00554065"/>
    <w:rsid w:val="00555D8D"/>
    <w:rsid w:val="00556DA2"/>
    <w:rsid w:val="00560EAF"/>
    <w:rsid w:val="00572059"/>
    <w:rsid w:val="00573E83"/>
    <w:rsid w:val="00575762"/>
    <w:rsid w:val="005775FA"/>
    <w:rsid w:val="00583550"/>
    <w:rsid w:val="00591622"/>
    <w:rsid w:val="005947ED"/>
    <w:rsid w:val="00596277"/>
    <w:rsid w:val="00596803"/>
    <w:rsid w:val="005A6657"/>
    <w:rsid w:val="005B0572"/>
    <w:rsid w:val="005B19E8"/>
    <w:rsid w:val="005B6C71"/>
    <w:rsid w:val="005B7EF7"/>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27DC0"/>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2BA8"/>
    <w:rsid w:val="006A307A"/>
    <w:rsid w:val="006B0B91"/>
    <w:rsid w:val="006B24E7"/>
    <w:rsid w:val="006B554E"/>
    <w:rsid w:val="006B5B87"/>
    <w:rsid w:val="006B77BE"/>
    <w:rsid w:val="006C21A8"/>
    <w:rsid w:val="006C49D3"/>
    <w:rsid w:val="006C71D5"/>
    <w:rsid w:val="006C742E"/>
    <w:rsid w:val="006D4D97"/>
    <w:rsid w:val="006D78DE"/>
    <w:rsid w:val="006E2B12"/>
    <w:rsid w:val="006E3BE7"/>
    <w:rsid w:val="006E5986"/>
    <w:rsid w:val="006E5F79"/>
    <w:rsid w:val="006E6073"/>
    <w:rsid w:val="006E72DC"/>
    <w:rsid w:val="006E7D51"/>
    <w:rsid w:val="006F01F5"/>
    <w:rsid w:val="006F05AC"/>
    <w:rsid w:val="006F1E99"/>
    <w:rsid w:val="006F26FB"/>
    <w:rsid w:val="006F2A9A"/>
    <w:rsid w:val="006F33DF"/>
    <w:rsid w:val="006F3BCC"/>
    <w:rsid w:val="00710F9C"/>
    <w:rsid w:val="00711860"/>
    <w:rsid w:val="00714D1B"/>
    <w:rsid w:val="00717029"/>
    <w:rsid w:val="00720312"/>
    <w:rsid w:val="0072202C"/>
    <w:rsid w:val="0072288E"/>
    <w:rsid w:val="00727121"/>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3DEB"/>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B3FDF"/>
    <w:rsid w:val="007C00B5"/>
    <w:rsid w:val="007C271F"/>
    <w:rsid w:val="007D4695"/>
    <w:rsid w:val="007D5F69"/>
    <w:rsid w:val="007D7D2D"/>
    <w:rsid w:val="007E22BB"/>
    <w:rsid w:val="007E24A8"/>
    <w:rsid w:val="007E6BBB"/>
    <w:rsid w:val="007F261A"/>
    <w:rsid w:val="007F4389"/>
    <w:rsid w:val="0080135F"/>
    <w:rsid w:val="00802F9D"/>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466A5"/>
    <w:rsid w:val="008509BD"/>
    <w:rsid w:val="008518FE"/>
    <w:rsid w:val="008631C4"/>
    <w:rsid w:val="00863246"/>
    <w:rsid w:val="008647E2"/>
    <w:rsid w:val="00865A3B"/>
    <w:rsid w:val="00867C1C"/>
    <w:rsid w:val="0087458E"/>
    <w:rsid w:val="00874F4C"/>
    <w:rsid w:val="00877005"/>
    <w:rsid w:val="0088112D"/>
    <w:rsid w:val="008816D8"/>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0656"/>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2C76"/>
    <w:rsid w:val="00932DEA"/>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2AB"/>
    <w:rsid w:val="0097695A"/>
    <w:rsid w:val="00982515"/>
    <w:rsid w:val="00985C6F"/>
    <w:rsid w:val="00987DA5"/>
    <w:rsid w:val="00996119"/>
    <w:rsid w:val="009A10CD"/>
    <w:rsid w:val="009A7588"/>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2D2A"/>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AF6371"/>
    <w:rsid w:val="00B01D6A"/>
    <w:rsid w:val="00B0308C"/>
    <w:rsid w:val="00B10E20"/>
    <w:rsid w:val="00B13755"/>
    <w:rsid w:val="00B14EDA"/>
    <w:rsid w:val="00B15B26"/>
    <w:rsid w:val="00B15EA7"/>
    <w:rsid w:val="00B218BF"/>
    <w:rsid w:val="00B273A3"/>
    <w:rsid w:val="00B27FD9"/>
    <w:rsid w:val="00B30A58"/>
    <w:rsid w:val="00B33E1B"/>
    <w:rsid w:val="00B343B8"/>
    <w:rsid w:val="00B347A3"/>
    <w:rsid w:val="00B35FBA"/>
    <w:rsid w:val="00B35FD4"/>
    <w:rsid w:val="00B40022"/>
    <w:rsid w:val="00B40969"/>
    <w:rsid w:val="00B4789A"/>
    <w:rsid w:val="00B51B53"/>
    <w:rsid w:val="00B527C6"/>
    <w:rsid w:val="00B63983"/>
    <w:rsid w:val="00B66459"/>
    <w:rsid w:val="00B7027A"/>
    <w:rsid w:val="00B719FD"/>
    <w:rsid w:val="00B71B7E"/>
    <w:rsid w:val="00B7384C"/>
    <w:rsid w:val="00B73D60"/>
    <w:rsid w:val="00B7675B"/>
    <w:rsid w:val="00B80918"/>
    <w:rsid w:val="00B81709"/>
    <w:rsid w:val="00B82529"/>
    <w:rsid w:val="00B82FD4"/>
    <w:rsid w:val="00B91227"/>
    <w:rsid w:val="00B9280A"/>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0CCC"/>
    <w:rsid w:val="00BF2E9E"/>
    <w:rsid w:val="00BF5021"/>
    <w:rsid w:val="00BF625D"/>
    <w:rsid w:val="00BF6960"/>
    <w:rsid w:val="00C00573"/>
    <w:rsid w:val="00C01D6D"/>
    <w:rsid w:val="00C0394B"/>
    <w:rsid w:val="00C101D8"/>
    <w:rsid w:val="00C15724"/>
    <w:rsid w:val="00C16678"/>
    <w:rsid w:val="00C21599"/>
    <w:rsid w:val="00C244B2"/>
    <w:rsid w:val="00C30868"/>
    <w:rsid w:val="00C32521"/>
    <w:rsid w:val="00C41372"/>
    <w:rsid w:val="00C41F00"/>
    <w:rsid w:val="00C41FD7"/>
    <w:rsid w:val="00C4406A"/>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A5"/>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271"/>
    <w:rsid w:val="00D06468"/>
    <w:rsid w:val="00D1017D"/>
    <w:rsid w:val="00D11282"/>
    <w:rsid w:val="00D11D55"/>
    <w:rsid w:val="00D14569"/>
    <w:rsid w:val="00D15AFB"/>
    <w:rsid w:val="00D15B0F"/>
    <w:rsid w:val="00D25096"/>
    <w:rsid w:val="00D2614B"/>
    <w:rsid w:val="00D3035E"/>
    <w:rsid w:val="00D30B4B"/>
    <w:rsid w:val="00D31FD3"/>
    <w:rsid w:val="00D3496C"/>
    <w:rsid w:val="00D35F7B"/>
    <w:rsid w:val="00D3643E"/>
    <w:rsid w:val="00D40841"/>
    <w:rsid w:val="00D411DB"/>
    <w:rsid w:val="00D452EA"/>
    <w:rsid w:val="00D54504"/>
    <w:rsid w:val="00D57ABE"/>
    <w:rsid w:val="00D60D0A"/>
    <w:rsid w:val="00D63034"/>
    <w:rsid w:val="00D664DF"/>
    <w:rsid w:val="00D679E8"/>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16C03"/>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213D"/>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701"/>
    <w:rsid w:val="00F34D29"/>
    <w:rsid w:val="00F35C2C"/>
    <w:rsid w:val="00F36C13"/>
    <w:rsid w:val="00F43944"/>
    <w:rsid w:val="00F44F0C"/>
    <w:rsid w:val="00F45974"/>
    <w:rsid w:val="00F45EFD"/>
    <w:rsid w:val="00F51B8A"/>
    <w:rsid w:val="00F52438"/>
    <w:rsid w:val="00F53A4B"/>
    <w:rsid w:val="00F64D16"/>
    <w:rsid w:val="00F65B50"/>
    <w:rsid w:val="00F66D00"/>
    <w:rsid w:val="00F67B3D"/>
    <w:rsid w:val="00F733D2"/>
    <w:rsid w:val="00F87CF1"/>
    <w:rsid w:val="00F906DF"/>
    <w:rsid w:val="00F926DD"/>
    <w:rsid w:val="00F934DE"/>
    <w:rsid w:val="00F941F7"/>
    <w:rsid w:val="00F95832"/>
    <w:rsid w:val="00F9693E"/>
    <w:rsid w:val="00F973AF"/>
    <w:rsid w:val="00F9745A"/>
    <w:rsid w:val="00FA5CE9"/>
    <w:rsid w:val="00FA6695"/>
    <w:rsid w:val="00FA794C"/>
    <w:rsid w:val="00FB1A6C"/>
    <w:rsid w:val="00FB1C77"/>
    <w:rsid w:val="00FB3F6A"/>
    <w:rsid w:val="00FD2905"/>
    <w:rsid w:val="00FE1CEA"/>
    <w:rsid w:val="00FE3C8E"/>
    <w:rsid w:val="00FE3E86"/>
    <w:rsid w:val="00FE4490"/>
    <w:rsid w:val="00FE51F2"/>
    <w:rsid w:val="00FE52AD"/>
    <w:rsid w:val="00FE5547"/>
    <w:rsid w:val="00FF15E9"/>
    <w:rsid w:val="00FF6973"/>
    <w:rsid w:val="1B7772E4"/>
    <w:rsid w:val="2A0F0CCD"/>
    <w:rsid w:val="2DAF44B7"/>
    <w:rsid w:val="2DF56CD9"/>
    <w:rsid w:val="3F6778EF"/>
    <w:rsid w:val="46A87316"/>
    <w:rsid w:val="4746708A"/>
    <w:rsid w:val="4B3F260D"/>
    <w:rsid w:val="51DD2CBB"/>
    <w:rsid w:val="541F3E53"/>
    <w:rsid w:val="549F6BCC"/>
    <w:rsid w:val="59CF39D5"/>
    <w:rsid w:val="5E927177"/>
    <w:rsid w:val="63FA7DBC"/>
    <w:rsid w:val="6ACC0B2B"/>
    <w:rsid w:val="78A05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MsoNormal"/>
    <w:basedOn w:val="1"/>
    <w:qFormat/>
    <w:uiPriority w:val="0"/>
    <w:pPr>
      <w:widowControl/>
      <w:jc w:val="left"/>
    </w:pPr>
    <w:rPr>
      <w:kern w:val="0"/>
      <w:sz w:val="24"/>
      <w:szCs w:val="24"/>
    </w:rPr>
  </w:style>
  <w:style w:type="paragraph" w:customStyle="1" w:styleId="52">
    <w:name w:val="p"/>
    <w:basedOn w:val="1"/>
    <w:qFormat/>
    <w:uiPriority w:val="0"/>
    <w:pPr>
      <w:widowControl/>
      <w:jc w:val="left"/>
    </w:pPr>
    <w:rPr>
      <w:kern w:val="0"/>
      <w:sz w:val="24"/>
      <w:szCs w:val="24"/>
    </w:rPr>
  </w:style>
  <w:style w:type="character" w:customStyle="1" w:styleId="53">
    <w:name w:val="font11"/>
    <w:basedOn w:val="19"/>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3438-05E5-4974-986F-B8135B59055B}">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6</Pages>
  <Words>393</Words>
  <Characters>2242</Characters>
  <Lines>18</Lines>
  <Paragraphs>5</Paragraphs>
  <TotalTime>0</TotalTime>
  <ScaleCrop>false</ScaleCrop>
  <LinksUpToDate>false</LinksUpToDate>
  <CharactersWithSpaces>2630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董鲁豫</cp:lastModifiedBy>
  <cp:lastPrinted>2411-12-31T15:59:00Z</cp:lastPrinted>
  <dcterms:modified xsi:type="dcterms:W3CDTF">2026-07-14T07:27:11Z</dcterms:modified>
  <dc:title>gongGaoMingCheng</dc:title>
  <cp:revision>192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5051352593A9498BAB35C86981E42DFE</vt:lpwstr>
  </property>
</Properties>
</file>