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3208E78">
      <w:pPr>
        <w:rPr>
          <w:sz w:val="48"/>
        </w:rPr>
      </w:pPr>
    </w:p>
    <w:p w14:paraId="7BA00C5F">
      <w:pPr>
        <w:rPr>
          <w:sz w:val="48"/>
        </w:rPr>
      </w:pPr>
    </w:p>
    <w:p w14:paraId="31DDBF0E">
      <w:pPr>
        <w:jc w:val="center"/>
        <w:rPr>
          <w:rFonts w:ascii="宋体" w:hAnsi="宋体"/>
          <w:b/>
          <w:bCs/>
          <w:sz w:val="48"/>
          <w:szCs w:val="30"/>
        </w:rPr>
      </w:pPr>
      <w:r>
        <w:rPr>
          <w:rFonts w:ascii="宋体" w:hAnsi="宋体"/>
          <w:b/>
          <w:bCs/>
          <w:sz w:val="48"/>
          <w:szCs w:val="30"/>
        </w:rPr>
        <w:t xml:space="preserve">泉心盈35天 </w:t>
      </w:r>
    </w:p>
    <w:p w14:paraId="3C6A73D8">
      <w:pPr>
        <w:jc w:val="center"/>
        <w:rPr>
          <w:rFonts w:ascii="宋体" w:hAnsi="宋体"/>
          <w:b/>
          <w:bCs/>
          <w:sz w:val="48"/>
          <w:szCs w:val="30"/>
        </w:rPr>
      </w:pPr>
      <w:r>
        <w:rPr>
          <w:rFonts w:ascii="宋体" w:hAnsi="宋体"/>
          <w:b/>
          <w:bCs/>
          <w:sz w:val="48"/>
          <w:szCs w:val="30"/>
        </w:rPr>
        <w:t>2026年半年度</w:t>
      </w:r>
      <w:r>
        <w:rPr>
          <w:rFonts w:hint="eastAsia" w:ascii="宋体" w:hAnsi="宋体"/>
          <w:b/>
          <w:bCs/>
          <w:sz w:val="48"/>
          <w:szCs w:val="30"/>
        </w:rPr>
        <w:t>报告</w:t>
      </w:r>
    </w:p>
    <w:p w14:paraId="673D2CAB">
      <w:pPr>
        <w:jc w:val="center"/>
        <w:rPr>
          <w:rFonts w:ascii="宋体" w:hAnsi="宋体"/>
          <w:b/>
          <w:bCs/>
          <w:sz w:val="28"/>
          <w:szCs w:val="30"/>
        </w:rPr>
      </w:pPr>
    </w:p>
    <w:p w14:paraId="77221042">
      <w:pPr>
        <w:jc w:val="center"/>
        <w:rPr>
          <w:rFonts w:ascii="宋体" w:hAnsi="宋体"/>
          <w:sz w:val="28"/>
          <w:szCs w:val="30"/>
        </w:rPr>
      </w:pPr>
    </w:p>
    <w:p w14:paraId="52877C92">
      <w:pPr>
        <w:jc w:val="center"/>
        <w:rPr>
          <w:rFonts w:ascii="宋体" w:hAnsi="宋体"/>
          <w:sz w:val="28"/>
          <w:szCs w:val="30"/>
        </w:rPr>
      </w:pPr>
    </w:p>
    <w:p w14:paraId="04748BCB">
      <w:pPr>
        <w:jc w:val="center"/>
        <w:rPr>
          <w:rFonts w:ascii="宋体" w:hAnsi="宋体"/>
          <w:sz w:val="28"/>
          <w:szCs w:val="30"/>
        </w:rPr>
      </w:pPr>
    </w:p>
    <w:p w14:paraId="5173DBFC">
      <w:pPr>
        <w:jc w:val="center"/>
        <w:rPr>
          <w:rFonts w:ascii="宋体" w:hAnsi="宋体"/>
          <w:sz w:val="28"/>
          <w:szCs w:val="30"/>
        </w:rPr>
      </w:pPr>
    </w:p>
    <w:p w14:paraId="6991D921">
      <w:pPr>
        <w:jc w:val="center"/>
        <w:rPr>
          <w:rFonts w:ascii="宋体" w:hAnsi="宋体"/>
          <w:sz w:val="28"/>
          <w:szCs w:val="30"/>
        </w:rPr>
      </w:pPr>
    </w:p>
    <w:p w14:paraId="19DFF7F4">
      <w:pPr>
        <w:jc w:val="center"/>
        <w:rPr>
          <w:rFonts w:ascii="宋体" w:hAnsi="宋体"/>
          <w:sz w:val="28"/>
          <w:szCs w:val="30"/>
        </w:rPr>
      </w:pPr>
    </w:p>
    <w:p w14:paraId="5C857F8B">
      <w:pPr>
        <w:jc w:val="center"/>
        <w:rPr>
          <w:rFonts w:ascii="宋体" w:hAnsi="宋体"/>
          <w:sz w:val="28"/>
          <w:szCs w:val="30"/>
        </w:rPr>
      </w:pPr>
    </w:p>
    <w:p w14:paraId="2D4847C7">
      <w:pPr>
        <w:jc w:val="center"/>
        <w:rPr>
          <w:rFonts w:ascii="宋体" w:hAnsi="宋体"/>
          <w:sz w:val="28"/>
          <w:szCs w:val="30"/>
        </w:rPr>
      </w:pPr>
    </w:p>
    <w:p w14:paraId="646C2AB2">
      <w:pPr>
        <w:jc w:val="center"/>
        <w:rPr>
          <w:rFonts w:ascii="宋体" w:hAnsi="宋体"/>
          <w:sz w:val="28"/>
          <w:szCs w:val="30"/>
        </w:rPr>
      </w:pPr>
    </w:p>
    <w:p w14:paraId="1540BB4D">
      <w:pPr>
        <w:jc w:val="center"/>
        <w:rPr>
          <w:rFonts w:ascii="宋体" w:hAnsi="宋体"/>
          <w:sz w:val="28"/>
          <w:szCs w:val="30"/>
        </w:rPr>
      </w:pPr>
    </w:p>
    <w:p w14:paraId="523BA324">
      <w:pPr>
        <w:jc w:val="center"/>
        <w:rPr>
          <w:rFonts w:ascii="宋体" w:hAnsi="宋体"/>
          <w:sz w:val="28"/>
          <w:szCs w:val="30"/>
        </w:rPr>
      </w:pPr>
    </w:p>
    <w:p w14:paraId="4DBD4925">
      <w:pPr>
        <w:ind w:firstLine="1687" w:firstLineChars="600"/>
        <w:jc w:val="left"/>
        <w:rPr>
          <w:rFonts w:ascii="宋体" w:hAnsi="宋体"/>
          <w:b/>
          <w:bCs/>
          <w:sz w:val="28"/>
          <w:szCs w:val="30"/>
        </w:rPr>
      </w:pPr>
      <w:r>
        <w:rPr>
          <w:rFonts w:ascii="宋体" w:hAnsi="宋体"/>
          <w:b/>
          <w:bCs/>
          <w:sz w:val="28"/>
          <w:szCs w:val="30"/>
        </w:rPr>
        <w:t>产品管理人：齐鲁银行股份有限公司</w:t>
      </w:r>
    </w:p>
    <w:p w14:paraId="3812F682">
      <w:pPr>
        <w:ind w:firstLine="1687" w:firstLineChars="600"/>
        <w:jc w:val="left"/>
        <w:rPr>
          <w:rFonts w:ascii="宋体" w:hAnsi="宋体"/>
          <w:b/>
          <w:bCs/>
          <w:sz w:val="28"/>
          <w:szCs w:val="30"/>
        </w:rPr>
      </w:pPr>
      <w:r>
        <w:rPr>
          <w:rFonts w:ascii="宋体" w:hAnsi="宋体"/>
          <w:b/>
          <w:bCs/>
          <w:sz w:val="28"/>
          <w:szCs w:val="30"/>
        </w:rPr>
        <w:t>产品托管人：招商银行股份有限公司</w:t>
      </w:r>
    </w:p>
    <w:p w14:paraId="5D730823">
      <w:pPr>
        <w:ind w:firstLine="1680" w:firstLineChars="600"/>
        <w:jc w:val="left"/>
        <w:rPr>
          <w:rFonts w:ascii="宋体" w:hAnsi="宋体"/>
          <w:sz w:val="28"/>
          <w:szCs w:val="30"/>
        </w:rPr>
      </w:pPr>
    </w:p>
    <w:p w14:paraId="76DFD26A">
      <w:pPr>
        <w:ind w:firstLine="1680" w:firstLineChars="600"/>
        <w:jc w:val="left"/>
        <w:rPr>
          <w:rFonts w:ascii="宋体" w:hAnsi="宋体"/>
          <w:sz w:val="28"/>
          <w:szCs w:val="30"/>
        </w:rPr>
      </w:pPr>
    </w:p>
    <w:p w14:paraId="29D12BFD">
      <w:pPr>
        <w:ind w:firstLine="1680" w:firstLineChars="600"/>
        <w:jc w:val="left"/>
        <w:rPr>
          <w:rFonts w:ascii="宋体" w:hAnsi="宋体"/>
          <w:sz w:val="28"/>
          <w:szCs w:val="30"/>
        </w:rPr>
      </w:pPr>
    </w:p>
    <w:p w14:paraId="46C73A7E">
      <w:pPr>
        <w:rPr>
          <w:rFonts w:ascii="宋体" w:hAnsi="宋体"/>
          <w:sz w:val="28"/>
          <w:szCs w:val="30"/>
        </w:rPr>
      </w:pPr>
    </w:p>
    <w:p w14:paraId="72395F5D">
      <w:pPr>
        <w:jc w:val="center"/>
        <w:rPr>
          <w:rFonts w:ascii="宋体" w:hAnsi="宋体"/>
          <w:b/>
          <w:bCs/>
          <w:sz w:val="28"/>
          <w:szCs w:val="30"/>
        </w:rPr>
      </w:pPr>
    </w:p>
    <w:p w14:paraId="0E4D4392">
      <w:pPr>
        <w:jc w:val="center"/>
        <w:rPr>
          <w:rFonts w:ascii="宋体" w:hAnsi="宋体"/>
          <w:bCs/>
          <w:sz w:val="33"/>
          <w:szCs w:val="33"/>
        </w:rPr>
      </w:pPr>
      <w:r>
        <w:rPr>
          <w:rFonts w:hint="eastAsia" w:ascii="宋体" w:hAnsi="宋体"/>
          <w:bCs/>
          <w:sz w:val="33"/>
          <w:szCs w:val="33"/>
        </w:rPr>
        <w:t>1</w:t>
      </w:r>
      <w:r>
        <w:rPr>
          <w:rFonts w:ascii="宋体" w:hAnsi="宋体"/>
          <w:bCs/>
          <w:sz w:val="33"/>
          <w:szCs w:val="33"/>
        </w:rPr>
        <w:t xml:space="preserve"> </w:t>
      </w:r>
      <w:r>
        <w:rPr>
          <w:rFonts w:hint="eastAsia" w:ascii="宋体" w:hAnsi="宋体"/>
          <w:bCs/>
          <w:sz w:val="33"/>
          <w:szCs w:val="33"/>
        </w:rPr>
        <w:t>重要提示</w:t>
      </w:r>
    </w:p>
    <w:p w14:paraId="4C6E0EEF">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产品管理人的董事会及董事保证本报告所载资料不存在虚假记载、误导性陈述或重大遗漏，并对其内容的真实性、准确性和完整性承担个别及连带责任。</w:t>
      </w:r>
    </w:p>
    <w:p w14:paraId="54F5A479">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产品管理人承诺以诚实信用、勤勉尽责的原则管理和运用产品资产，但不保证产品一定盈利。　</w:t>
      </w:r>
    </w:p>
    <w:p w14:paraId="359E2162">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产品的过往业绩并不代表其未来表现。投资有风险，投资者在作出投资决策前应仔细阅读本产品的产品说明书。</w:t>
      </w:r>
    </w:p>
    <w:p w14:paraId="034E8E88">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本报告中财务资料未经审计。</w:t>
      </w:r>
    </w:p>
    <w:p w14:paraId="2B10623C">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本</w:t>
      </w:r>
      <w:r>
        <w:rPr>
          <w:rFonts w:ascii="宋体" w:hAnsi="宋体" w:cs="宋体"/>
          <w:color w:val="000000"/>
          <w:sz w:val="24"/>
          <w:szCs w:val="24"/>
        </w:rPr>
        <w:t>报告期</w:t>
      </w:r>
      <w:r>
        <w:rPr>
          <w:rFonts w:hint="eastAsia" w:ascii="宋体" w:hAnsi="宋体" w:cs="宋体"/>
          <w:color w:val="000000"/>
          <w:sz w:val="24"/>
          <w:szCs w:val="24"/>
        </w:rPr>
        <w:t>自 2026-01-01</w:t>
      </w:r>
      <w:r>
        <w:rPr>
          <w:rFonts w:ascii="宋体" w:hAnsi="宋体" w:cs="宋体"/>
          <w:color w:val="000000"/>
          <w:sz w:val="24"/>
          <w:szCs w:val="24"/>
        </w:rPr>
        <w:t xml:space="preserve"> </w:t>
      </w:r>
      <w:r>
        <w:rPr>
          <w:rFonts w:hint="eastAsia" w:ascii="宋体" w:hAnsi="宋体" w:cs="宋体"/>
          <w:color w:val="000000"/>
          <w:sz w:val="24"/>
          <w:szCs w:val="24"/>
        </w:rPr>
        <w:t>起至 2026-06-30</w:t>
      </w:r>
      <w:r>
        <w:rPr>
          <w:rFonts w:ascii="宋体" w:hAnsi="宋体" w:cs="宋体"/>
          <w:color w:val="000000"/>
          <w:sz w:val="24"/>
          <w:szCs w:val="24"/>
        </w:rPr>
        <w:t xml:space="preserve"> 止。</w:t>
      </w:r>
    </w:p>
    <w:p w14:paraId="2ABAED82">
      <w:pPr>
        <w:jc w:val="center"/>
        <w:rPr>
          <w:rFonts w:ascii="宋体" w:hAnsi="宋体"/>
          <w:bCs/>
          <w:sz w:val="33"/>
          <w:szCs w:val="33"/>
        </w:rPr>
      </w:pPr>
      <w:r>
        <w:rPr>
          <w:rFonts w:hint="eastAsia" w:ascii="宋体" w:hAnsi="宋体"/>
          <w:bCs/>
          <w:sz w:val="33"/>
          <w:szCs w:val="33"/>
        </w:rPr>
        <w:t>2</w:t>
      </w:r>
      <w:r>
        <w:rPr>
          <w:rFonts w:ascii="宋体" w:hAnsi="宋体"/>
          <w:bCs/>
          <w:sz w:val="33"/>
          <w:szCs w:val="33"/>
        </w:rPr>
        <w:t xml:space="preserve"> </w:t>
      </w:r>
      <w:r>
        <w:rPr>
          <w:rFonts w:hint="eastAsia" w:ascii="宋体" w:hAnsi="宋体"/>
          <w:bCs/>
          <w:sz w:val="33"/>
          <w:szCs w:val="33"/>
        </w:rPr>
        <w:t xml:space="preserve">产品概况 </w:t>
      </w:r>
    </w:p>
    <w:tbl>
      <w:tblPr>
        <w:tblStyle w:val="17"/>
        <w:tblW w:w="9000" w:type="dxa"/>
        <w:jc w:val="center"/>
        <w:tblCellSpacing w:w="8" w:type="dxa"/>
        <w:tblLayout w:type="fixed"/>
        <w:tblCellMar>
          <w:top w:w="0" w:type="dxa"/>
          <w:left w:w="108" w:type="dxa"/>
          <w:bottom w:w="0" w:type="dxa"/>
          <w:right w:w="108" w:type="dxa"/>
        </w:tblCellMar>
      </w:tblPr>
      <w:tblGrid>
        <w:gridCol w:w="9000"/>
      </w:tblGrid>
      <w:tr w14:paraId="66A141FE">
        <w:tblPrEx>
          <w:tblCellMar>
            <w:top w:w="0" w:type="dxa"/>
            <w:left w:w="108" w:type="dxa"/>
            <w:bottom w:w="0" w:type="dxa"/>
            <w:right w:w="108" w:type="dxa"/>
          </w:tblCellMar>
        </w:tblPrEx>
        <w:trPr>
          <w:tblCellSpacing w:w="8" w:type="dxa"/>
          <w:jc w:val="center"/>
        </w:trPr>
        <w:tc>
          <w:tcPr>
            <w:tcW w:w="8968" w:type="dxa"/>
            <w:tcMar>
              <w:top w:w="15" w:type="dxa"/>
              <w:left w:w="15" w:type="dxa"/>
              <w:bottom w:w="15" w:type="dxa"/>
              <w:right w:w="15" w:type="dxa"/>
            </w:tcMar>
            <w:vAlign w:val="center"/>
          </w:tcPr>
          <w:p w14:paraId="7CC55FF2">
            <w:pPr>
              <w:rPr>
                <w:rFonts w:eastAsia="Times New Roman"/>
                <w:color w:val="000000"/>
                <w:sz w:val="24"/>
                <w:szCs w:val="24"/>
              </w:rPr>
            </w:pPr>
            <w:r>
              <w:rPr>
                <w:rFonts w:hint="eastAsia" w:ascii="宋体" w:hAnsi="宋体" w:cs="宋体"/>
                <w:color w:val="000000"/>
                <w:sz w:val="24"/>
                <w:szCs w:val="24"/>
              </w:rPr>
              <w:t>2.1 产品基本情况</w:t>
            </w:r>
          </w:p>
        </w:tc>
      </w:tr>
    </w:tbl>
    <w:p w14:paraId="616EFB56">
      <w:pPr>
        <w:rPr>
          <w:vanish/>
          <w:sz w:val="24"/>
          <w:szCs w:val="24"/>
        </w:rPr>
      </w:pPr>
    </w:p>
    <w:tbl>
      <w:tblPr>
        <w:tblStyle w:val="17"/>
        <w:tblW w:w="8980" w:type="dxa"/>
        <w:jc w:val="center"/>
        <w:tblLayout w:type="fixed"/>
        <w:tblCellMar>
          <w:top w:w="0" w:type="dxa"/>
          <w:left w:w="108" w:type="dxa"/>
          <w:bottom w:w="0" w:type="dxa"/>
          <w:right w:w="108" w:type="dxa"/>
        </w:tblCellMar>
      </w:tblPr>
      <w:tblGrid>
        <w:gridCol w:w="4497"/>
        <w:gridCol w:w="4483"/>
      </w:tblGrid>
      <w:tr w14:paraId="40D31EAE">
        <w:tblPrEx>
          <w:tblCellMar>
            <w:top w:w="0" w:type="dxa"/>
            <w:left w:w="108" w:type="dxa"/>
            <w:bottom w:w="0" w:type="dxa"/>
            <w:right w:w="108" w:type="dxa"/>
          </w:tblCellMar>
        </w:tblPrEx>
        <w:trPr>
          <w:trHeight w:val="300" w:hRule="atLeast"/>
          <w:jc w:val="center"/>
        </w:trPr>
        <w:tc>
          <w:tcPr>
            <w:tcW w:w="4497" w:type="dxa"/>
            <w:tcBorders>
              <w:top w:val="single" w:color="000000" w:sz="8" w:space="0"/>
              <w:left w:val="single" w:color="000000" w:sz="8" w:space="0"/>
              <w:bottom w:val="single" w:color="000000" w:sz="8" w:space="0"/>
              <w:right w:val="single" w:color="000000" w:sz="8" w:space="0"/>
            </w:tcBorders>
            <w:tcMar>
              <w:top w:w="10" w:type="dxa"/>
              <w:left w:w="118" w:type="dxa"/>
              <w:bottom w:w="10" w:type="dxa"/>
              <w:right w:w="118" w:type="dxa"/>
            </w:tcMar>
          </w:tcPr>
          <w:p w14:paraId="607A8CD1">
            <w:pPr>
              <w:pStyle w:val="51"/>
              <w:spacing w:line="320" w:lineRule="atLeast"/>
              <w:rPr>
                <w:rFonts w:ascii="宋体" w:hAnsi="宋体" w:cs="宋体"/>
                <w:color w:val="000000"/>
                <w:kern w:val="2"/>
              </w:rPr>
            </w:pPr>
            <w:r>
              <w:rPr>
                <w:rFonts w:hint="eastAsia" w:ascii="宋体" w:hAnsi="宋体" w:cs="宋体"/>
                <w:color w:val="000000"/>
                <w:kern w:val="2"/>
              </w:rPr>
              <w:t>产品中文商业全称</w:t>
            </w:r>
          </w:p>
        </w:tc>
        <w:tc>
          <w:tcPr>
            <w:tcW w:w="4483" w:type="dxa"/>
            <w:tcBorders>
              <w:top w:val="single" w:color="000000" w:sz="8" w:space="0"/>
              <w:left w:val="nil"/>
              <w:bottom w:val="single" w:color="000000" w:sz="8" w:space="0"/>
              <w:right w:val="single" w:color="000000" w:sz="8" w:space="0"/>
            </w:tcBorders>
            <w:tcMar>
              <w:top w:w="10" w:type="dxa"/>
              <w:left w:w="108" w:type="dxa"/>
              <w:bottom w:w="10" w:type="dxa"/>
              <w:right w:w="118" w:type="dxa"/>
            </w:tcMar>
          </w:tcPr>
          <w:p w14:paraId="7A1A5945">
            <w:pPr>
              <w:pStyle w:val="51"/>
              <w:rPr>
                <w:rFonts w:ascii="宋体" w:hAnsi="宋体" w:cs="宋体"/>
                <w:color w:val="000000"/>
                <w:kern w:val="2"/>
              </w:rPr>
            </w:pPr>
            <w:r>
              <w:rPr>
                <w:rFonts w:hint="eastAsia" w:ascii="宋体" w:hAnsi="宋体" w:cs="宋体"/>
                <w:color w:val="000000"/>
                <w:kern w:val="2"/>
              </w:rPr>
              <w:t>泉心盈35天</w:t>
            </w:r>
          </w:p>
        </w:tc>
      </w:tr>
      <w:tr w14:paraId="485C2E96">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544AD187">
            <w:pPr>
              <w:pStyle w:val="51"/>
              <w:spacing w:line="320" w:lineRule="atLeast"/>
              <w:rPr>
                <w:rFonts w:ascii="宋体" w:hAnsi="宋体" w:cs="宋体"/>
                <w:color w:val="000000"/>
                <w:kern w:val="2"/>
              </w:rPr>
            </w:pPr>
            <w:r>
              <w:rPr>
                <w:rFonts w:hint="eastAsia" w:ascii="宋体" w:hAnsi="宋体" w:cs="宋体"/>
                <w:color w:val="000000"/>
                <w:kern w:val="2"/>
              </w:rPr>
              <w:t>产品登记编码</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25AA0C67">
            <w:pPr>
              <w:pStyle w:val="51"/>
              <w:rPr>
                <w:rFonts w:ascii="宋体" w:hAnsi="宋体" w:cs="宋体"/>
                <w:color w:val="000000"/>
                <w:kern w:val="2"/>
              </w:rPr>
            </w:pPr>
            <w:r>
              <w:rPr>
                <w:rFonts w:hint="eastAsia" w:ascii="宋体" w:hAnsi="宋体" w:cs="宋体"/>
                <w:color w:val="000000"/>
                <w:kern w:val="2"/>
              </w:rPr>
              <w:t xml:space="preserve">C1088121000105 </w:t>
            </w:r>
          </w:p>
        </w:tc>
      </w:tr>
      <w:tr w14:paraId="4E6772FE">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4C83237D">
            <w:pPr>
              <w:pStyle w:val="51"/>
              <w:spacing w:line="320" w:lineRule="atLeast"/>
              <w:rPr>
                <w:rFonts w:ascii="宋体" w:hAnsi="宋体" w:cs="宋体"/>
                <w:color w:val="000000"/>
                <w:kern w:val="2"/>
              </w:rPr>
            </w:pPr>
            <w:r>
              <w:rPr>
                <w:rFonts w:hint="eastAsia" w:ascii="宋体" w:hAnsi="宋体" w:cs="宋体"/>
                <w:color w:val="000000"/>
                <w:kern w:val="2"/>
              </w:rPr>
              <w:t>产品成立/起始日</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228466B9">
            <w:pPr>
              <w:pStyle w:val="51"/>
              <w:rPr>
                <w:rFonts w:ascii="宋体" w:hAnsi="宋体" w:cs="宋体"/>
                <w:color w:val="000000"/>
                <w:kern w:val="2"/>
              </w:rPr>
            </w:pPr>
            <w:r>
              <w:rPr>
                <w:rFonts w:hint="eastAsia" w:ascii="宋体" w:hAnsi="宋体" w:cs="宋体"/>
                <w:color w:val="000000"/>
                <w:kern w:val="2"/>
              </w:rPr>
              <w:t xml:space="preserve">2021-06-10 </w:t>
            </w:r>
          </w:p>
        </w:tc>
      </w:tr>
      <w:tr w14:paraId="11D19848">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2DACCCB3">
            <w:pPr>
              <w:pStyle w:val="51"/>
              <w:spacing w:line="320" w:lineRule="atLeast"/>
              <w:rPr>
                <w:rFonts w:ascii="宋体" w:hAnsi="宋体" w:cs="宋体"/>
                <w:color w:val="000000"/>
                <w:kern w:val="2"/>
              </w:rPr>
            </w:pPr>
            <w:r>
              <w:rPr>
                <w:rFonts w:hint="eastAsia" w:ascii="宋体" w:hAnsi="宋体" w:cs="宋体"/>
                <w:color w:val="000000"/>
                <w:kern w:val="2"/>
              </w:rPr>
              <w:t>报告期末产品份额总额（份）</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5D8F5785">
            <w:pPr>
              <w:pStyle w:val="51"/>
              <w:rPr>
                <w:rFonts w:ascii="宋体" w:hAnsi="宋体" w:cs="宋体"/>
                <w:color w:val="000000"/>
                <w:kern w:val="2"/>
              </w:rPr>
            </w:pPr>
            <w:r>
              <w:rPr>
                <w:rFonts w:hint="eastAsia" w:ascii="宋体" w:hAnsi="宋体" w:cs="宋体"/>
                <w:color w:val="000000"/>
                <w:kern w:val="2"/>
              </w:rPr>
              <w:t xml:space="preserve">4,675,076,292.68 </w:t>
            </w:r>
          </w:p>
        </w:tc>
      </w:tr>
      <w:tr w14:paraId="13BEF2CB">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2380FE9B">
            <w:pPr>
              <w:pStyle w:val="51"/>
              <w:spacing w:line="320" w:lineRule="atLeast"/>
              <w:rPr>
                <w:rFonts w:ascii="宋体" w:hAnsi="宋体" w:cs="宋体"/>
                <w:color w:val="000000"/>
                <w:kern w:val="2"/>
              </w:rPr>
            </w:pPr>
            <w:r>
              <w:rPr>
                <w:rFonts w:hint="eastAsia" w:ascii="宋体" w:hAnsi="宋体" w:cs="宋体"/>
                <w:color w:val="000000"/>
                <w:kern w:val="2"/>
              </w:rPr>
              <w:t>业绩比较基准（%）</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57A46288">
            <w:pPr>
              <w:pStyle w:val="51"/>
              <w:rPr>
                <w:rFonts w:ascii="宋体" w:hAnsi="宋体" w:cs="宋体"/>
                <w:color w:val="000000"/>
                <w:kern w:val="2"/>
              </w:rPr>
            </w:pPr>
            <w:r>
              <w:rPr>
                <w:rFonts w:hint="eastAsia" w:ascii="宋体" w:hAnsi="宋体" w:cs="宋体"/>
                <w:color w:val="000000"/>
                <w:kern w:val="2"/>
              </w:rPr>
              <w:t>1.6/年</w:t>
            </w:r>
          </w:p>
        </w:tc>
      </w:tr>
      <w:tr w14:paraId="1F3E238E">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54A6FA01">
            <w:pPr>
              <w:pStyle w:val="51"/>
              <w:spacing w:line="320" w:lineRule="atLeast"/>
              <w:rPr>
                <w:rFonts w:ascii="宋体" w:hAnsi="宋体" w:cs="宋体"/>
                <w:color w:val="000000"/>
                <w:kern w:val="2"/>
              </w:rPr>
            </w:pPr>
            <w:r>
              <w:rPr>
                <w:rFonts w:hint="eastAsia" w:ascii="宋体" w:hAnsi="宋体" w:cs="宋体"/>
                <w:color w:val="000000"/>
                <w:kern w:val="2"/>
              </w:rPr>
              <w:t>杠杆水平（%）</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6780D1CB">
            <w:pPr>
              <w:pStyle w:val="51"/>
              <w:rPr>
                <w:rFonts w:ascii="宋体" w:hAnsi="宋体" w:cs="宋体"/>
                <w:color w:val="000000"/>
                <w:kern w:val="2"/>
              </w:rPr>
            </w:pPr>
            <w:r>
              <w:rPr>
                <w:rFonts w:ascii="宋体" w:hAnsi="宋体" w:cs="宋体"/>
                <w:color w:val="000000"/>
                <w:kern w:val="2"/>
              </w:rPr>
              <w:t>100.23</w:t>
            </w:r>
          </w:p>
        </w:tc>
      </w:tr>
      <w:tr w14:paraId="128E4F88">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2661450F">
            <w:pPr>
              <w:pStyle w:val="51"/>
              <w:spacing w:line="320" w:lineRule="atLeast"/>
              <w:rPr>
                <w:rFonts w:ascii="宋体" w:hAnsi="宋体" w:cs="宋体"/>
                <w:color w:val="000000"/>
                <w:kern w:val="2"/>
              </w:rPr>
            </w:pPr>
            <w:r>
              <w:rPr>
                <w:rFonts w:hint="eastAsia" w:ascii="宋体" w:hAnsi="宋体" w:cs="宋体"/>
                <w:color w:val="000000"/>
                <w:kern w:val="2"/>
              </w:rPr>
              <w:t>销售手续费率（%）</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637E522B">
            <w:pPr>
              <w:pStyle w:val="51"/>
              <w:rPr>
                <w:rFonts w:ascii="宋体" w:hAnsi="宋体" w:cs="宋体"/>
                <w:color w:val="000000"/>
                <w:kern w:val="2"/>
              </w:rPr>
            </w:pPr>
            <w:r>
              <w:rPr>
                <w:rFonts w:hint="eastAsia" w:ascii="宋体" w:hAnsi="宋体" w:cs="宋体"/>
                <w:color w:val="000000"/>
                <w:kern w:val="2"/>
              </w:rPr>
              <w:t>0.3</w:t>
            </w:r>
          </w:p>
        </w:tc>
      </w:tr>
      <w:tr w14:paraId="35D152AD">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08AE4597">
            <w:pPr>
              <w:pStyle w:val="51"/>
              <w:spacing w:line="320" w:lineRule="atLeast"/>
              <w:rPr>
                <w:rFonts w:ascii="宋体" w:hAnsi="宋体" w:cs="宋体"/>
                <w:color w:val="000000"/>
                <w:kern w:val="2"/>
              </w:rPr>
            </w:pPr>
            <w:r>
              <w:rPr>
                <w:rFonts w:hint="eastAsia" w:ascii="宋体" w:hAnsi="宋体" w:cs="宋体"/>
                <w:color w:val="000000"/>
                <w:kern w:val="2"/>
              </w:rPr>
              <w:t>托管费率（%）</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250219C1">
            <w:pPr>
              <w:pStyle w:val="51"/>
              <w:rPr>
                <w:rFonts w:ascii="宋体" w:hAnsi="宋体" w:cs="宋体"/>
                <w:color w:val="000000"/>
                <w:kern w:val="2"/>
              </w:rPr>
            </w:pPr>
            <w:r>
              <w:rPr>
                <w:rFonts w:hint="eastAsia" w:ascii="宋体" w:hAnsi="宋体" w:cs="宋体"/>
                <w:color w:val="000000"/>
                <w:kern w:val="2"/>
              </w:rPr>
              <w:t>0.005</w:t>
            </w:r>
          </w:p>
        </w:tc>
      </w:tr>
      <w:tr w14:paraId="11D32A98">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470BFDA9">
            <w:pPr>
              <w:pStyle w:val="51"/>
              <w:spacing w:line="320" w:lineRule="atLeast"/>
              <w:rPr>
                <w:rFonts w:ascii="宋体" w:hAnsi="宋体" w:cs="宋体"/>
                <w:color w:val="000000"/>
                <w:kern w:val="2"/>
              </w:rPr>
            </w:pPr>
            <w:r>
              <w:rPr>
                <w:rFonts w:hint="eastAsia" w:ascii="宋体" w:hAnsi="宋体" w:cs="宋体"/>
                <w:color w:val="000000"/>
                <w:kern w:val="2"/>
              </w:rPr>
              <w:t>固定管理费率（%）</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3A330F77">
            <w:pPr>
              <w:pStyle w:val="51"/>
              <w:rPr>
                <w:rFonts w:ascii="宋体" w:hAnsi="宋体" w:cs="宋体"/>
                <w:color w:val="000000"/>
                <w:kern w:val="2"/>
              </w:rPr>
            </w:pPr>
            <w:r>
              <w:rPr>
                <w:rFonts w:hint="eastAsia" w:ascii="宋体" w:hAnsi="宋体" w:cs="宋体"/>
                <w:color w:val="000000"/>
                <w:kern w:val="2"/>
              </w:rPr>
              <w:t>0.2</w:t>
            </w:r>
          </w:p>
        </w:tc>
      </w:tr>
      <w:tr w14:paraId="013AF5CE">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255A24CE">
            <w:pPr>
              <w:pStyle w:val="51"/>
              <w:spacing w:line="320" w:lineRule="atLeast"/>
              <w:rPr>
                <w:rFonts w:ascii="宋体" w:hAnsi="宋体" w:cs="宋体"/>
                <w:color w:val="000000"/>
                <w:kern w:val="2"/>
              </w:rPr>
            </w:pPr>
            <w:r>
              <w:rPr>
                <w:rFonts w:hint="eastAsia" w:ascii="宋体" w:hAnsi="宋体" w:cs="宋体"/>
                <w:color w:val="000000"/>
                <w:kern w:val="2"/>
              </w:rPr>
              <w:t>其他费率（%）</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05026C4A">
            <w:pPr>
              <w:pStyle w:val="51"/>
              <w:rPr>
                <w:rFonts w:ascii="宋体" w:hAnsi="宋体" w:cs="宋体"/>
                <w:color w:val="000000"/>
                <w:kern w:val="2"/>
              </w:rPr>
            </w:pPr>
          </w:p>
        </w:tc>
      </w:tr>
      <w:tr w14:paraId="00F0C7E1">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2469FF9B">
            <w:pPr>
              <w:pStyle w:val="51"/>
              <w:spacing w:line="320" w:lineRule="atLeast"/>
              <w:rPr>
                <w:rFonts w:ascii="宋体" w:hAnsi="宋体" w:cs="宋体"/>
                <w:color w:val="000000"/>
                <w:kern w:val="2"/>
              </w:rPr>
            </w:pPr>
            <w:r>
              <w:rPr>
                <w:rFonts w:hint="eastAsia" w:ascii="宋体" w:hAnsi="宋体" w:cs="宋体"/>
                <w:color w:val="000000"/>
                <w:kern w:val="2"/>
              </w:rPr>
              <w:t>业绩报酬（元）</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1AAF18A1">
            <w:pPr>
              <w:pStyle w:val="51"/>
              <w:rPr>
                <w:rFonts w:ascii="宋体" w:hAnsi="宋体" w:cs="宋体"/>
                <w:color w:val="000000"/>
                <w:kern w:val="2"/>
              </w:rPr>
            </w:pPr>
            <w:r>
              <w:rPr>
                <w:rFonts w:hint="eastAsia" w:ascii="宋体" w:hAnsi="宋体" w:cs="宋体"/>
                <w:color w:val="000000"/>
                <w:kern w:val="2"/>
              </w:rPr>
              <w:t>6,446,630.00</w:t>
            </w:r>
          </w:p>
        </w:tc>
      </w:tr>
    </w:tbl>
    <w:p w14:paraId="128EB73E">
      <w:pPr>
        <w:ind w:firstLine="400"/>
        <w:jc w:val="center"/>
        <w:rPr>
          <w:rFonts w:eastAsia="Times New Roman"/>
        </w:rPr>
      </w:pPr>
      <w:r>
        <w:rPr>
          <w:rFonts w:eastAsia="Times New Roman"/>
        </w:rPr>
        <w:t> </w:t>
      </w:r>
    </w:p>
    <w:p w14:paraId="046513EE">
      <w:pPr>
        <w:jc w:val="center"/>
        <w:rPr>
          <w:rFonts w:ascii="宋体" w:hAnsi="宋体"/>
          <w:bCs/>
          <w:sz w:val="33"/>
          <w:szCs w:val="33"/>
        </w:rPr>
      </w:pPr>
      <w:r>
        <w:rPr>
          <w:rFonts w:hint="eastAsia" w:ascii="宋体" w:hAnsi="宋体"/>
          <w:bCs/>
          <w:sz w:val="33"/>
          <w:szCs w:val="33"/>
        </w:rPr>
        <w:t>3</w:t>
      </w:r>
      <w:r>
        <w:rPr>
          <w:rFonts w:ascii="宋体" w:hAnsi="宋体"/>
          <w:bCs/>
          <w:sz w:val="33"/>
          <w:szCs w:val="33"/>
        </w:rPr>
        <w:t xml:space="preserve"> </w:t>
      </w:r>
      <w:r>
        <w:rPr>
          <w:rFonts w:hint="eastAsia" w:ascii="宋体" w:hAnsi="宋体"/>
          <w:bCs/>
          <w:sz w:val="33"/>
          <w:szCs w:val="33"/>
        </w:rPr>
        <w:t>主要财务指标和产品净值表现</w:t>
      </w:r>
    </w:p>
    <w:tbl>
      <w:tblPr>
        <w:tblStyle w:val="17"/>
        <w:tblW w:w="9000" w:type="dxa"/>
        <w:jc w:val="center"/>
        <w:tblCellSpacing w:w="8" w:type="dxa"/>
        <w:tblLayout w:type="fixed"/>
        <w:tblCellMar>
          <w:top w:w="0" w:type="dxa"/>
          <w:left w:w="108" w:type="dxa"/>
          <w:bottom w:w="0" w:type="dxa"/>
          <w:right w:w="108" w:type="dxa"/>
        </w:tblCellMar>
      </w:tblPr>
      <w:tblGrid>
        <w:gridCol w:w="9000"/>
      </w:tblGrid>
      <w:tr w14:paraId="6AE2CF30">
        <w:tblPrEx>
          <w:tblCellMar>
            <w:top w:w="0" w:type="dxa"/>
            <w:left w:w="108" w:type="dxa"/>
            <w:bottom w:w="0" w:type="dxa"/>
            <w:right w:w="108" w:type="dxa"/>
          </w:tblCellMar>
        </w:tblPrEx>
        <w:trPr>
          <w:tblCellSpacing w:w="8" w:type="dxa"/>
          <w:jc w:val="center"/>
        </w:trPr>
        <w:tc>
          <w:tcPr>
            <w:tcW w:w="8968" w:type="dxa"/>
            <w:tcMar>
              <w:top w:w="15" w:type="dxa"/>
              <w:left w:w="15" w:type="dxa"/>
              <w:bottom w:w="15" w:type="dxa"/>
              <w:right w:w="15" w:type="dxa"/>
            </w:tcMar>
            <w:vAlign w:val="center"/>
          </w:tcPr>
          <w:p w14:paraId="6C33D989">
            <w:pPr>
              <w:rPr>
                <w:rFonts w:ascii="宋体" w:hAnsi="宋体"/>
                <w:color w:val="000000"/>
                <w:sz w:val="24"/>
                <w:szCs w:val="24"/>
              </w:rPr>
            </w:pPr>
            <w:r>
              <w:rPr>
                <w:rFonts w:hint="eastAsia" w:ascii="宋体" w:hAnsi="宋体" w:cs="宋体"/>
                <w:color w:val="000000"/>
                <w:sz w:val="24"/>
                <w:szCs w:val="24"/>
              </w:rPr>
              <w:t>3.1 主要财务指标</w:t>
            </w:r>
          </w:p>
        </w:tc>
      </w:tr>
    </w:tbl>
    <w:p w14:paraId="608A2EF8">
      <w:pPr>
        <w:rPr>
          <w:rFonts w:ascii="宋体" w:hAnsi="宋体"/>
          <w:vanish/>
          <w:sz w:val="24"/>
          <w:szCs w:val="24"/>
        </w:rPr>
      </w:pPr>
    </w:p>
    <w:tbl>
      <w:tblPr>
        <w:tblStyle w:val="17"/>
        <w:tblW w:w="9000" w:type="dxa"/>
        <w:jc w:val="center"/>
        <w:tblCellSpacing w:w="8" w:type="dxa"/>
        <w:tblLayout w:type="fixed"/>
        <w:tblCellMar>
          <w:top w:w="0" w:type="dxa"/>
          <w:left w:w="108" w:type="dxa"/>
          <w:bottom w:w="0" w:type="dxa"/>
          <w:right w:w="108" w:type="dxa"/>
        </w:tblCellMar>
      </w:tblPr>
      <w:tblGrid>
        <w:gridCol w:w="9000"/>
      </w:tblGrid>
      <w:tr w14:paraId="4951BB28">
        <w:tblPrEx>
          <w:tblCellMar>
            <w:top w:w="0" w:type="dxa"/>
            <w:left w:w="108" w:type="dxa"/>
            <w:bottom w:w="0" w:type="dxa"/>
            <w:right w:w="108" w:type="dxa"/>
          </w:tblCellMar>
        </w:tblPrEx>
        <w:trPr>
          <w:trHeight w:val="150" w:hRule="atLeast"/>
          <w:tblCellSpacing w:w="8" w:type="dxa"/>
          <w:jc w:val="center"/>
        </w:trPr>
        <w:tc>
          <w:tcPr>
            <w:tcW w:w="8968" w:type="dxa"/>
            <w:tcMar>
              <w:top w:w="15" w:type="dxa"/>
              <w:left w:w="15" w:type="dxa"/>
              <w:bottom w:w="15" w:type="dxa"/>
              <w:right w:w="15" w:type="dxa"/>
            </w:tcMar>
            <w:vAlign w:val="center"/>
          </w:tcPr>
          <w:p w14:paraId="694AE44E">
            <w:pPr>
              <w:pStyle w:val="51"/>
              <w:jc w:val="right"/>
              <w:rPr>
                <w:rFonts w:ascii="宋体" w:hAnsi="宋体"/>
                <w:color w:val="000000"/>
              </w:rPr>
            </w:pPr>
            <w:r>
              <w:rPr>
                <w:rFonts w:hint="eastAsia" w:ascii="宋体" w:hAnsi="宋体" w:cs="宋体"/>
                <w:color w:val="000000"/>
                <w:kern w:val="2"/>
              </w:rPr>
              <w:t>单位：元、元/份</w:t>
            </w:r>
          </w:p>
        </w:tc>
      </w:tr>
    </w:tbl>
    <w:p w14:paraId="0E224AF5">
      <w:pPr>
        <w:rPr>
          <w:rFonts w:ascii="宋体" w:hAnsi="宋体"/>
          <w:vanish/>
          <w:sz w:val="24"/>
          <w:szCs w:val="24"/>
        </w:rPr>
      </w:pPr>
    </w:p>
    <w:tbl>
      <w:tblPr>
        <w:tblStyle w:val="17"/>
        <w:tblW w:w="9152" w:type="dxa"/>
        <w:jc w:val="center"/>
        <w:tblLayout w:type="fixed"/>
        <w:tblCellMar>
          <w:top w:w="0" w:type="dxa"/>
          <w:left w:w="108" w:type="dxa"/>
          <w:bottom w:w="0" w:type="dxa"/>
          <w:right w:w="108" w:type="dxa"/>
        </w:tblCellMar>
      </w:tblPr>
      <w:tblGrid>
        <w:gridCol w:w="4581"/>
        <w:gridCol w:w="4571"/>
      </w:tblGrid>
      <w:tr w14:paraId="350824DA">
        <w:tblPrEx>
          <w:tblCellMar>
            <w:top w:w="0" w:type="dxa"/>
            <w:left w:w="108" w:type="dxa"/>
            <w:bottom w:w="0" w:type="dxa"/>
            <w:right w:w="108" w:type="dxa"/>
          </w:tblCellMar>
        </w:tblPrEx>
        <w:trPr>
          <w:trHeight w:val="850" w:hRule="atLeast"/>
          <w:jc w:val="center"/>
        </w:trPr>
        <w:tc>
          <w:tcPr>
            <w:tcW w:w="4581" w:type="dxa"/>
            <w:tcBorders>
              <w:top w:val="single" w:color="000000" w:sz="8" w:space="0"/>
              <w:left w:val="single" w:color="000000" w:sz="8" w:space="0"/>
              <w:bottom w:val="single" w:color="000000" w:sz="8" w:space="0"/>
              <w:right w:val="single" w:color="000000" w:sz="8" w:space="0"/>
            </w:tcBorders>
            <w:tcMar>
              <w:top w:w="10" w:type="dxa"/>
              <w:left w:w="118" w:type="dxa"/>
              <w:bottom w:w="10" w:type="dxa"/>
              <w:right w:w="118" w:type="dxa"/>
            </w:tcMar>
            <w:vAlign w:val="center"/>
          </w:tcPr>
          <w:p w14:paraId="63890ED9">
            <w:pPr>
              <w:pStyle w:val="52"/>
              <w:spacing w:line="400" w:lineRule="atLeast"/>
              <w:rPr>
                <w:rFonts w:ascii="宋体" w:hAnsi="宋体" w:cs="宋体"/>
                <w:color w:val="000000"/>
                <w:kern w:val="2"/>
              </w:rPr>
            </w:pPr>
            <w:r>
              <w:rPr>
                <w:rFonts w:hint="eastAsia" w:ascii="宋体" w:hAnsi="宋体" w:cs="宋体"/>
                <w:color w:val="000000"/>
                <w:kern w:val="2"/>
              </w:rPr>
              <w:t>主要财务指标</w:t>
            </w:r>
          </w:p>
        </w:tc>
        <w:tc>
          <w:tcPr>
            <w:tcW w:w="4571" w:type="dxa"/>
            <w:tcBorders>
              <w:top w:val="single" w:color="000000" w:sz="8" w:space="0"/>
              <w:left w:val="nil"/>
              <w:bottom w:val="single" w:color="000000" w:sz="8" w:space="0"/>
              <w:right w:val="single" w:color="000000" w:sz="8" w:space="0"/>
            </w:tcBorders>
            <w:tcMar>
              <w:top w:w="10" w:type="dxa"/>
              <w:left w:w="108" w:type="dxa"/>
              <w:bottom w:w="10" w:type="dxa"/>
              <w:right w:w="118" w:type="dxa"/>
            </w:tcMar>
            <w:vAlign w:val="center"/>
          </w:tcPr>
          <w:p w14:paraId="50CE207D">
            <w:pPr>
              <w:pStyle w:val="51"/>
              <w:spacing w:line="400" w:lineRule="atLeast"/>
              <w:rPr>
                <w:rFonts w:ascii="宋体" w:hAnsi="宋体" w:cs="宋体"/>
                <w:color w:val="000000"/>
                <w:kern w:val="2"/>
              </w:rPr>
            </w:pPr>
            <w:r>
              <w:rPr>
                <w:rFonts w:hint="eastAsia" w:ascii="宋体" w:hAnsi="宋体" w:cs="宋体"/>
                <w:color w:val="000000"/>
                <w:kern w:val="2"/>
              </w:rPr>
              <w:t>2026-01-01</w:t>
            </w:r>
            <w:r>
              <w:rPr>
                <w:rFonts w:ascii="宋体" w:hAnsi="宋体" w:cs="宋体"/>
                <w:color w:val="000000"/>
                <w:kern w:val="2"/>
              </w:rPr>
              <w:t xml:space="preserve">  </w:t>
            </w:r>
            <w:r>
              <w:rPr>
                <w:rFonts w:hint="eastAsia" w:ascii="宋体" w:hAnsi="宋体" w:cs="宋体"/>
                <w:color w:val="000000"/>
                <w:kern w:val="2"/>
              </w:rPr>
              <w:t>至</w:t>
            </w:r>
            <w:r>
              <w:rPr>
                <w:rFonts w:ascii="宋体" w:hAnsi="宋体" w:cs="宋体"/>
                <w:color w:val="000000"/>
                <w:kern w:val="2"/>
              </w:rPr>
              <w:t xml:space="preserve"> </w:t>
            </w:r>
            <w:r>
              <w:rPr>
                <w:rFonts w:hint="eastAsia" w:ascii="宋体" w:hAnsi="宋体" w:cs="宋体"/>
                <w:color w:val="000000"/>
                <w:kern w:val="2"/>
              </w:rPr>
              <w:t xml:space="preserve"> 2026-06-30</w:t>
            </w:r>
          </w:p>
        </w:tc>
      </w:tr>
      <w:tr w14:paraId="11A75AFC">
        <w:tblPrEx>
          <w:tblCellMar>
            <w:top w:w="0" w:type="dxa"/>
            <w:left w:w="108" w:type="dxa"/>
            <w:bottom w:w="0" w:type="dxa"/>
            <w:right w:w="108" w:type="dxa"/>
          </w:tblCellMar>
        </w:tblPrEx>
        <w:trPr>
          <w:trHeight w:val="385" w:hRule="atLeast"/>
          <w:jc w:val="center"/>
        </w:trPr>
        <w:tc>
          <w:tcPr>
            <w:tcW w:w="4581" w:type="dxa"/>
            <w:tcBorders>
              <w:top w:val="nil"/>
              <w:left w:val="single" w:color="000000" w:sz="8" w:space="0"/>
              <w:bottom w:val="single" w:color="auto" w:sz="4" w:space="0"/>
              <w:right w:val="single" w:color="000000" w:sz="8" w:space="0"/>
            </w:tcBorders>
            <w:tcMar>
              <w:top w:w="0" w:type="dxa"/>
              <w:left w:w="118" w:type="dxa"/>
              <w:bottom w:w="10" w:type="dxa"/>
              <w:right w:w="118" w:type="dxa"/>
            </w:tcMar>
          </w:tcPr>
          <w:p w14:paraId="78B4FC59">
            <w:pPr>
              <w:pStyle w:val="51"/>
              <w:spacing w:line="320" w:lineRule="atLeast"/>
              <w:rPr>
                <w:rFonts w:ascii="宋体" w:hAnsi="宋体" w:cs="宋体"/>
                <w:color w:val="000000"/>
                <w:kern w:val="2"/>
              </w:rPr>
            </w:pPr>
            <w:r>
              <w:rPr>
                <w:rFonts w:hint="eastAsia" w:ascii="宋体" w:hAnsi="宋体" w:cs="宋体"/>
                <w:color w:val="000000"/>
                <w:kern w:val="2"/>
              </w:rPr>
              <w:t>1.期末产品资产净值</w:t>
            </w:r>
          </w:p>
        </w:tc>
        <w:tc>
          <w:tcPr>
            <w:tcW w:w="4571" w:type="dxa"/>
            <w:tcBorders>
              <w:top w:val="nil"/>
              <w:left w:val="nil"/>
              <w:bottom w:val="single" w:color="auto" w:sz="4" w:space="0"/>
              <w:right w:val="single" w:color="000000" w:sz="8" w:space="0"/>
            </w:tcBorders>
            <w:tcMar>
              <w:top w:w="0" w:type="dxa"/>
              <w:left w:w="108" w:type="dxa"/>
              <w:bottom w:w="10" w:type="dxa"/>
              <w:right w:w="118" w:type="dxa"/>
            </w:tcMar>
            <w:vAlign w:val="center"/>
          </w:tcPr>
          <w:p w14:paraId="51CAB9C7">
            <w:pPr>
              <w:jc w:val="right"/>
              <w:rPr>
                <w:rFonts w:ascii="宋体" w:hAnsi="宋体" w:cs="宋体"/>
                <w:color w:val="000000"/>
                <w:sz w:val="24"/>
                <w:szCs w:val="24"/>
              </w:rPr>
            </w:pPr>
            <w:r>
              <w:rPr>
                <w:rFonts w:hint="eastAsia" w:ascii="宋体" w:hAnsi="宋体" w:cs="宋体"/>
                <w:color w:val="000000"/>
                <w:sz w:val="24"/>
                <w:szCs w:val="24"/>
              </w:rPr>
              <w:t>5,400,297,635.04</w:t>
            </w:r>
          </w:p>
        </w:tc>
      </w:tr>
      <w:tr w14:paraId="7EADAAEA">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tcMar>
              <w:top w:w="0" w:type="dxa"/>
              <w:left w:w="118" w:type="dxa"/>
              <w:bottom w:w="10" w:type="dxa"/>
              <w:right w:w="118" w:type="dxa"/>
            </w:tcMar>
          </w:tcPr>
          <w:p w14:paraId="05FBEF31">
            <w:pPr>
              <w:pStyle w:val="51"/>
              <w:spacing w:line="320" w:lineRule="atLeast"/>
              <w:rPr>
                <w:rFonts w:ascii="宋体" w:hAnsi="宋体" w:cs="宋体"/>
                <w:color w:val="000000"/>
                <w:kern w:val="2"/>
              </w:rPr>
            </w:pPr>
            <w:r>
              <w:rPr>
                <w:rFonts w:hint="eastAsia" w:ascii="宋体" w:hAnsi="宋体" w:cs="宋体"/>
                <w:color w:val="000000"/>
                <w:kern w:val="2"/>
              </w:rPr>
              <w:t>2.期末产品份额净值</w:t>
            </w:r>
          </w:p>
        </w:tc>
        <w:tc>
          <w:tcPr>
            <w:tcW w:w="4571" w:type="dxa"/>
            <w:tcBorders>
              <w:top w:val="single" w:color="auto" w:sz="4" w:space="0"/>
              <w:left w:val="single" w:color="auto" w:sz="4" w:space="0"/>
              <w:bottom w:val="single" w:color="auto" w:sz="4" w:space="0"/>
              <w:right w:val="single" w:color="auto" w:sz="4" w:space="0"/>
            </w:tcBorders>
            <w:tcMar>
              <w:top w:w="0" w:type="dxa"/>
              <w:left w:w="108" w:type="dxa"/>
              <w:bottom w:w="10" w:type="dxa"/>
              <w:right w:w="118" w:type="dxa"/>
            </w:tcMar>
            <w:vAlign w:val="center"/>
          </w:tcPr>
          <w:p w14:paraId="0656D10E">
            <w:pPr>
              <w:jc w:val="right"/>
              <w:rPr>
                <w:rFonts w:ascii="宋体" w:hAnsi="宋体" w:cs="宋体"/>
                <w:color w:val="000000"/>
                <w:sz w:val="24"/>
                <w:szCs w:val="24"/>
              </w:rPr>
            </w:pPr>
            <w:r>
              <w:rPr>
                <w:rFonts w:hint="eastAsia" w:ascii="宋体" w:hAnsi="宋体" w:cs="宋体"/>
                <w:color w:val="000000"/>
                <w:sz w:val="24"/>
                <w:szCs w:val="24"/>
              </w:rPr>
              <w:t>1.15512502</w:t>
            </w:r>
          </w:p>
        </w:tc>
      </w:tr>
      <w:tr w14:paraId="261CD54C">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tcMar>
              <w:top w:w="0" w:type="dxa"/>
              <w:left w:w="118" w:type="dxa"/>
              <w:bottom w:w="10" w:type="dxa"/>
              <w:right w:w="118" w:type="dxa"/>
            </w:tcMar>
          </w:tcPr>
          <w:p w14:paraId="7AD4D56D">
            <w:pPr>
              <w:pStyle w:val="51"/>
              <w:spacing w:line="320" w:lineRule="atLeast"/>
              <w:rPr>
                <w:rFonts w:ascii="宋体" w:hAnsi="宋体" w:cs="宋体"/>
                <w:color w:val="000000"/>
                <w:kern w:val="2"/>
              </w:rPr>
            </w:pPr>
            <w:r>
              <w:rPr>
                <w:rFonts w:hint="eastAsia" w:ascii="宋体" w:hAnsi="宋体" w:cs="宋体"/>
                <w:color w:val="000000"/>
                <w:kern w:val="2"/>
              </w:rPr>
              <w:t>3.期末产品份额累计净值</w:t>
            </w:r>
          </w:p>
        </w:tc>
        <w:tc>
          <w:tcPr>
            <w:tcW w:w="4571" w:type="dxa"/>
            <w:tcBorders>
              <w:top w:val="single" w:color="auto" w:sz="4" w:space="0"/>
              <w:left w:val="single" w:color="auto" w:sz="4" w:space="0"/>
              <w:bottom w:val="single" w:color="auto" w:sz="4" w:space="0"/>
              <w:right w:val="single" w:color="auto" w:sz="4" w:space="0"/>
            </w:tcBorders>
            <w:tcMar>
              <w:top w:w="0" w:type="dxa"/>
              <w:left w:w="108" w:type="dxa"/>
              <w:bottom w:w="10" w:type="dxa"/>
              <w:right w:w="118" w:type="dxa"/>
            </w:tcMar>
            <w:vAlign w:val="center"/>
          </w:tcPr>
          <w:p w14:paraId="32AEF00E">
            <w:pPr>
              <w:jc w:val="right"/>
              <w:rPr>
                <w:rFonts w:ascii="宋体" w:hAnsi="宋体" w:cs="宋体"/>
                <w:color w:val="000000"/>
                <w:sz w:val="24"/>
                <w:szCs w:val="24"/>
              </w:rPr>
            </w:pPr>
            <w:r>
              <w:rPr>
                <w:rFonts w:hint="eastAsia" w:ascii="宋体" w:hAnsi="宋体" w:cs="宋体"/>
                <w:color w:val="000000"/>
                <w:sz w:val="24"/>
                <w:szCs w:val="24"/>
              </w:rPr>
              <w:t>1.15512502</w:t>
            </w:r>
          </w:p>
        </w:tc>
      </w:tr>
      <w:tr w14:paraId="243DED04">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tcMar>
              <w:top w:w="0" w:type="dxa"/>
              <w:left w:w="118" w:type="dxa"/>
              <w:bottom w:w="10" w:type="dxa"/>
              <w:right w:w="118" w:type="dxa"/>
            </w:tcMar>
          </w:tcPr>
          <w:p w14:paraId="181D77E8">
            <w:pPr>
              <w:pStyle w:val="51"/>
              <w:spacing w:line="320" w:lineRule="atLeast"/>
              <w:rPr>
                <w:rFonts w:hint="default" w:ascii="宋体" w:hAnsi="宋体" w:eastAsia="宋体" w:cs="宋体"/>
                <w:color w:val="000000"/>
                <w:kern w:val="2"/>
                <w:lang w:val="en-US" w:eastAsia="zh-CN"/>
              </w:rPr>
            </w:pPr>
            <w:r>
              <w:rPr>
                <w:rFonts w:hint="eastAsia" w:ascii="宋体" w:hAnsi="宋体" w:cs="宋体"/>
                <w:color w:val="000000"/>
                <w:kern w:val="2"/>
              </w:rPr>
              <w:t>4.本报告期累计净值增长率</w:t>
            </w:r>
            <w:r>
              <w:rPr>
                <w:rFonts w:hint="eastAsia" w:ascii="宋体" w:hAnsi="宋体" w:cs="宋体"/>
                <w:color w:val="000000"/>
                <w:kern w:val="2"/>
                <w:lang w:eastAsia="zh-CN"/>
              </w:rPr>
              <w:t>（</w:t>
            </w:r>
            <w:r>
              <w:rPr>
                <w:rFonts w:hint="eastAsia" w:ascii="宋体" w:hAnsi="宋体" w:cs="宋体"/>
                <w:color w:val="000000"/>
                <w:kern w:val="2"/>
                <w:lang w:val="en-US" w:eastAsia="zh-CN"/>
              </w:rPr>
              <w:t>%）</w:t>
            </w:r>
          </w:p>
        </w:tc>
        <w:tc>
          <w:tcPr>
            <w:tcW w:w="4571" w:type="dxa"/>
            <w:tcBorders>
              <w:top w:val="single" w:color="auto" w:sz="4" w:space="0"/>
              <w:left w:val="single" w:color="auto" w:sz="4" w:space="0"/>
              <w:bottom w:val="single" w:color="auto" w:sz="4" w:space="0"/>
              <w:right w:val="single" w:color="auto" w:sz="4" w:space="0"/>
            </w:tcBorders>
            <w:tcMar>
              <w:top w:w="0" w:type="dxa"/>
              <w:left w:w="108" w:type="dxa"/>
              <w:bottom w:w="10" w:type="dxa"/>
              <w:right w:w="118" w:type="dxa"/>
            </w:tcMar>
            <w:vAlign w:val="center"/>
          </w:tcPr>
          <w:p w14:paraId="15E04D4E">
            <w:pPr>
              <w:jc w:val="right"/>
              <w:rPr>
                <w:rFonts w:ascii="宋体" w:hAnsi="宋体" w:cs="宋体"/>
                <w:color w:val="000000"/>
                <w:sz w:val="24"/>
                <w:szCs w:val="24"/>
              </w:rPr>
            </w:pPr>
            <w:r>
              <w:rPr>
                <w:rFonts w:hint="eastAsia" w:ascii="宋体" w:hAnsi="宋体" w:cs="宋体"/>
                <w:color w:val="000000"/>
                <w:sz w:val="24"/>
                <w:szCs w:val="24"/>
              </w:rPr>
              <w:t>1.05</w:t>
            </w:r>
          </w:p>
        </w:tc>
      </w:tr>
    </w:tbl>
    <w:p w14:paraId="721ECE97">
      <w:pPr>
        <w:spacing w:line="360" w:lineRule="auto"/>
        <w:ind w:right="-107" w:rightChars="-51" w:firstLine="420"/>
        <w:jc w:val="left"/>
        <w:rPr>
          <w:rFonts w:ascii="宋体" w:hAnsi="宋体" w:cs="宋体"/>
          <w:color w:val="000000"/>
          <w:sz w:val="24"/>
          <w:szCs w:val="24"/>
        </w:rPr>
      </w:pPr>
      <w:r>
        <w:rPr>
          <w:rFonts w:ascii="宋体" w:hAnsi="宋体" w:cs="宋体"/>
          <w:color w:val="000000"/>
          <w:sz w:val="24"/>
          <w:szCs w:val="24"/>
        </w:rPr>
        <w:t>注：除产品合同和说明书另有规定外，期末产品份额净值、期末产品份额累计净值按截位法保留至小数点后第8</w:t>
      </w:r>
      <w:r>
        <w:rPr>
          <w:rFonts w:hint="eastAsia" w:ascii="宋体" w:hAnsi="宋体" w:cs="宋体"/>
          <w:color w:val="000000"/>
          <w:sz w:val="24"/>
          <w:szCs w:val="24"/>
        </w:rPr>
        <w:t>位，其他财务指标保留至小数点后第2位。</w:t>
      </w:r>
    </w:p>
    <w:p w14:paraId="55D37253">
      <w:pPr>
        <w:ind w:firstLine="400"/>
        <w:jc w:val="center"/>
        <w:rPr>
          <w:rFonts w:eastAsiaTheme="minorEastAsia"/>
        </w:rPr>
      </w:pPr>
    </w:p>
    <w:p w14:paraId="7349DDA5">
      <w:pPr>
        <w:jc w:val="center"/>
        <w:rPr>
          <w:rFonts w:ascii="宋体" w:hAnsi="宋体"/>
          <w:bCs/>
          <w:sz w:val="33"/>
          <w:szCs w:val="33"/>
        </w:rPr>
      </w:pPr>
      <w:r>
        <w:rPr>
          <w:rFonts w:hint="eastAsia" w:ascii="宋体" w:hAnsi="宋体"/>
          <w:bCs/>
          <w:sz w:val="33"/>
          <w:szCs w:val="33"/>
        </w:rPr>
        <w:t>4</w:t>
      </w:r>
      <w:r>
        <w:rPr>
          <w:rFonts w:ascii="宋体" w:hAnsi="宋体"/>
          <w:bCs/>
          <w:sz w:val="33"/>
          <w:szCs w:val="33"/>
        </w:rPr>
        <w:t xml:space="preserve"> </w:t>
      </w:r>
      <w:r>
        <w:rPr>
          <w:rFonts w:hint="eastAsia" w:ascii="宋体" w:hAnsi="宋体"/>
          <w:bCs/>
          <w:sz w:val="33"/>
          <w:szCs w:val="33"/>
        </w:rPr>
        <w:t>投资组合报告</w:t>
      </w:r>
    </w:p>
    <w:p w14:paraId="4F883E50">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rPr>
      </w:pPr>
    </w:p>
    <w:p w14:paraId="69170083">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rPr>
      </w:pPr>
    </w:p>
    <w:p w14:paraId="41E32C85">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rPr>
      </w:pPr>
    </w:p>
    <w:p w14:paraId="09D90F65">
      <w:pPr>
        <w:jc w:val="left"/>
        <w:rPr>
          <w:rFonts w:hint="eastAsia" w:ascii="宋体" w:hAnsi="宋体" w:cs="宋体"/>
          <w:color w:val="000000"/>
          <w:sz w:val="24"/>
          <w:szCs w:val="24"/>
        </w:rPr>
      </w:pPr>
      <w:r>
        <w:rPr>
          <w:rFonts w:hint="eastAsia" w:ascii="宋体" w:hAnsi="宋体" w:cs="宋体"/>
          <w:color w:val="000000"/>
          <w:sz w:val="24"/>
          <w:szCs w:val="24"/>
        </w:rPr>
        <w:t>4.1 管理人对报告期内投资组合的投资策略说明</w:t>
      </w:r>
    </w:p>
    <w:p w14:paraId="395F0F4F">
      <w:pPr>
        <w:jc w:val="left"/>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 xml:space="preserve">4.1.1 </w:t>
      </w:r>
      <w:r>
        <w:rPr>
          <w:rFonts w:hint="eastAsia" w:ascii="宋体" w:hAnsi="宋体" w:cs="宋体"/>
          <w:color w:val="000000"/>
          <w:sz w:val="24"/>
          <w:szCs w:val="24"/>
        </w:rPr>
        <w:t>投资组合的</w:t>
      </w:r>
      <w:r>
        <w:rPr>
          <w:rFonts w:hint="eastAsia" w:ascii="宋体" w:hAnsi="宋体" w:cs="宋体"/>
          <w:color w:val="000000"/>
          <w:sz w:val="24"/>
          <w:szCs w:val="24"/>
          <w:lang w:val="en-US" w:eastAsia="zh-CN"/>
        </w:rPr>
        <w:t>投资策略和运作分析</w:t>
      </w:r>
    </w:p>
    <w:p w14:paraId="049792BC">
      <w:pPr>
        <w:spacing w:line="360" w:lineRule="auto"/>
        <w:ind w:firstLine="480" w:firstLineChars="200"/>
        <w:jc w:val="left"/>
        <w:rPr>
          <w:rFonts w:hint="default" w:ascii="宋体" w:hAnsi="宋体" w:cs="宋体"/>
          <w:color w:val="000000"/>
          <w:sz w:val="24"/>
          <w:szCs w:val="24"/>
          <w:lang w:val="en-US" w:eastAsia="zh-CN"/>
        </w:rPr>
      </w:pPr>
      <w:r>
        <w:rPr>
          <w:rFonts w:hint="default" w:ascii="宋体" w:hAnsi="宋体" w:cs="宋体"/>
          <w:color w:val="000000"/>
          <w:sz w:val="24"/>
          <w:szCs w:val="24"/>
          <w:lang w:val="en-US" w:eastAsia="zh-CN"/>
        </w:rPr>
        <w:t>2026年上半年，在经济弱复苏、货币政策宽松的背景下，债券市场呈现“震荡走强”格局。一季度，国内经济弱复苏，货币政策维持适度宽松基调，外围扰动加大，债券收益率震荡下行。1月在股债跷跷板效应以及年初配置盘集中入场的影响下，债券收益率先上后下；2月资金宽松主导债券市场定价，收益率持续下行；3月美伊战争引发的通胀预期和资金宽松影响下，债券长短行情分化，曲线收益率陡峭化，整体震荡偏强。二季度在经济基本面数据偏弱的背景下，资金成为影响市场收益率定价的核心因素。4月流动性超预期宽松，收益率下行；5月资金松紧交替、整体偏松；6月流动性转紧，债券收益率反弹后进入窄幅震荡阶段。</w:t>
      </w:r>
    </w:p>
    <w:p w14:paraId="17C64669">
      <w:pPr>
        <w:spacing w:line="360" w:lineRule="auto"/>
        <w:ind w:firstLine="480" w:firstLineChars="200"/>
        <w:jc w:val="left"/>
        <w:rPr>
          <w:rFonts w:hint="default" w:ascii="宋体" w:hAnsi="宋体" w:cs="宋体"/>
          <w:color w:val="000000"/>
          <w:sz w:val="24"/>
          <w:szCs w:val="24"/>
          <w:lang w:val="en-US" w:eastAsia="zh-CN"/>
        </w:rPr>
      </w:pPr>
      <w:r>
        <w:rPr>
          <w:rFonts w:hint="default" w:ascii="宋体" w:hAnsi="宋体" w:cs="宋体"/>
          <w:color w:val="000000"/>
          <w:sz w:val="24"/>
          <w:szCs w:val="24"/>
          <w:lang w:val="en-US" w:eastAsia="zh-CN"/>
        </w:rPr>
        <w:t>开放式产品组合以中高等级信用债为底仓，严控信用风险，构建收益稳健、风险可控的投资组合，力争获取超额收益。上半年，组合灵活调整久期与杠杆，底仓以高等级信用债获取票息收益，同步搭配高流动性资产，优化组合流动性，依托利率债、国有大行二永债波段操作，在风险收益匹配的前提下增厚组合整体收益。</w:t>
      </w:r>
    </w:p>
    <w:p w14:paraId="261CDA0E">
      <w:pPr>
        <w:jc w:val="left"/>
        <w:rPr>
          <w:rFonts w:ascii="宋体" w:hAnsi="宋体" w:cs="宋体"/>
          <w:color w:val="000000"/>
          <w:sz w:val="24"/>
          <w:szCs w:val="24"/>
        </w:rPr>
      </w:pPr>
      <w:r>
        <w:rPr>
          <w:rFonts w:hint="eastAsia" w:ascii="宋体" w:hAnsi="宋体" w:cs="宋体"/>
          <w:color w:val="000000"/>
          <w:sz w:val="24"/>
          <w:szCs w:val="24"/>
          <w:lang w:val="en-US" w:eastAsia="zh-CN"/>
        </w:rPr>
        <w:t xml:space="preserve">4.1.2 </w:t>
      </w:r>
      <w:r>
        <w:rPr>
          <w:rFonts w:hint="eastAsia" w:ascii="宋体" w:hAnsi="宋体" w:cs="宋体"/>
          <w:color w:val="000000"/>
          <w:sz w:val="24"/>
          <w:szCs w:val="24"/>
        </w:rPr>
        <w:t>投资组合的流动性风险分析</w:t>
      </w:r>
    </w:p>
    <w:p w14:paraId="27D161EE">
      <w:pPr>
        <w:spacing w:line="360" w:lineRule="auto"/>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本产品投资方向为固收类资产，本行审慎对国内外宏观经济形势、市场利率走势及债券市场资金供求情况综合分析，预测债券市场利率走势，结合流动性预判及各类流动性管理措施，并对各投资品种收益率、波动性、各类风险进行在控制风险的前提下，积极构建及调整投资组合，力争合理的流动性安排。</w:t>
      </w:r>
    </w:p>
    <w:p w14:paraId="0FFA9C0F">
      <w:pPr>
        <w:spacing w:line="360" w:lineRule="auto"/>
        <w:ind w:firstLine="480" w:firstLineChars="200"/>
        <w:jc w:val="left"/>
        <w:rPr>
          <w:rFonts w:ascii="宋体" w:hAnsi="宋体" w:cs="宋体"/>
          <w:color w:val="000000"/>
          <w:sz w:val="24"/>
          <w:szCs w:val="24"/>
        </w:rPr>
      </w:pPr>
      <w:bookmarkStart w:id="2" w:name="_GoBack"/>
      <w:bookmarkEnd w:id="2"/>
    </w:p>
    <w:p w14:paraId="3A0B8D50">
      <w:pPr>
        <w:jc w:val="left"/>
        <w:rPr>
          <w:rFonts w:ascii="宋体" w:hAnsi="宋体" w:cs="宋体"/>
          <w:color w:val="000000"/>
          <w:sz w:val="24"/>
          <w:szCs w:val="24"/>
        </w:rPr>
      </w:pPr>
      <w:r>
        <w:rPr>
          <w:rFonts w:hint="eastAsia" w:ascii="宋体" w:hAnsi="宋体" w:cs="宋体"/>
          <w:color w:val="000000"/>
          <w:sz w:val="24"/>
          <w:szCs w:val="24"/>
        </w:rPr>
        <w:t>4.2 报告期末资产情况</w:t>
      </w:r>
    </w:p>
    <w:p w14:paraId="2BD67DBF">
      <w:pPr>
        <w:jc w:val="right"/>
        <w:rPr>
          <w:rFonts w:ascii="宋体" w:hAnsi="宋体" w:cs="宋体"/>
          <w:color w:val="000000"/>
          <w:sz w:val="24"/>
          <w:szCs w:val="24"/>
        </w:rPr>
      </w:pPr>
      <w:r>
        <w:rPr>
          <w:rFonts w:hint="eastAsia" w:ascii="宋体" w:hAnsi="宋体" w:cs="宋体"/>
          <w:color w:val="000000"/>
          <w:sz w:val="24"/>
          <w:szCs w:val="24"/>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7778E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262F07F8">
            <w:pPr>
              <w:jc w:val="center"/>
              <w:rPr>
                <w:rFonts w:ascii="宋体" w:hAnsi="宋体"/>
                <w:b/>
                <w:sz w:val="24"/>
                <w:szCs w:val="24"/>
              </w:rPr>
            </w:pPr>
            <w:r>
              <w:rPr>
                <w:rFonts w:hint="eastAsia" w:ascii="宋体" w:hAnsi="宋体"/>
                <w:b/>
                <w:sz w:val="24"/>
                <w:szCs w:val="24"/>
              </w:rPr>
              <w:t>序号</w:t>
            </w:r>
          </w:p>
        </w:tc>
        <w:tc>
          <w:tcPr>
            <w:tcW w:w="1447" w:type="dxa"/>
            <w:vMerge w:val="restart"/>
            <w:shd w:val="clear" w:color="auto" w:fill="D9D9D9"/>
            <w:vAlign w:val="center"/>
          </w:tcPr>
          <w:p w14:paraId="06821505">
            <w:pPr>
              <w:jc w:val="center"/>
              <w:rPr>
                <w:rFonts w:ascii="宋体" w:hAnsi="宋体"/>
                <w:b/>
                <w:sz w:val="24"/>
                <w:szCs w:val="24"/>
              </w:rPr>
            </w:pPr>
            <w:r>
              <w:rPr>
                <w:rFonts w:hint="eastAsia" w:ascii="宋体" w:hAnsi="宋体"/>
                <w:b/>
                <w:sz w:val="24"/>
                <w:szCs w:val="24"/>
              </w:rPr>
              <w:t>项目</w:t>
            </w:r>
          </w:p>
        </w:tc>
        <w:tc>
          <w:tcPr>
            <w:tcW w:w="3446" w:type="dxa"/>
            <w:gridSpan w:val="2"/>
            <w:shd w:val="clear" w:color="auto" w:fill="D9D9D9"/>
            <w:vAlign w:val="center"/>
          </w:tcPr>
          <w:p w14:paraId="6AF8ED76">
            <w:pPr>
              <w:jc w:val="center"/>
              <w:rPr>
                <w:rFonts w:ascii="宋体" w:hAnsi="宋体"/>
                <w:b/>
                <w:sz w:val="24"/>
                <w:szCs w:val="24"/>
              </w:rPr>
            </w:pPr>
            <w:r>
              <w:rPr>
                <w:rFonts w:hint="eastAsia" w:ascii="宋体" w:hAnsi="宋体"/>
                <w:b/>
                <w:sz w:val="24"/>
                <w:szCs w:val="24"/>
              </w:rPr>
              <w:t>直接</w:t>
            </w:r>
            <w:r>
              <w:rPr>
                <w:rFonts w:ascii="宋体" w:hAnsi="宋体"/>
                <w:b/>
                <w:sz w:val="24"/>
                <w:szCs w:val="24"/>
              </w:rPr>
              <w:t>投资</w:t>
            </w:r>
          </w:p>
        </w:tc>
        <w:tc>
          <w:tcPr>
            <w:tcW w:w="3358" w:type="dxa"/>
            <w:gridSpan w:val="2"/>
            <w:shd w:val="clear" w:color="auto" w:fill="D9D9D9"/>
            <w:vAlign w:val="center"/>
          </w:tcPr>
          <w:p w14:paraId="3095FD29">
            <w:pPr>
              <w:jc w:val="center"/>
              <w:rPr>
                <w:rFonts w:ascii="宋体" w:hAnsi="宋体"/>
                <w:b/>
                <w:sz w:val="24"/>
                <w:szCs w:val="24"/>
              </w:rPr>
            </w:pPr>
            <w:r>
              <w:rPr>
                <w:rFonts w:hint="eastAsia" w:ascii="宋体" w:hAnsi="宋体"/>
                <w:b/>
                <w:sz w:val="24"/>
                <w:szCs w:val="24"/>
              </w:rPr>
              <w:t>间接</w:t>
            </w:r>
            <w:r>
              <w:rPr>
                <w:rFonts w:ascii="宋体" w:hAnsi="宋体"/>
                <w:b/>
                <w:sz w:val="24"/>
                <w:szCs w:val="24"/>
              </w:rPr>
              <w:t>投资</w:t>
            </w:r>
          </w:p>
        </w:tc>
      </w:tr>
      <w:tr w14:paraId="3B066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21FDDDF0">
            <w:pPr>
              <w:jc w:val="center"/>
              <w:rPr>
                <w:rFonts w:ascii="宋体" w:hAnsi="宋体"/>
                <w:b/>
                <w:sz w:val="24"/>
                <w:szCs w:val="24"/>
              </w:rPr>
            </w:pPr>
          </w:p>
        </w:tc>
        <w:tc>
          <w:tcPr>
            <w:tcW w:w="1447" w:type="dxa"/>
            <w:vMerge w:val="continue"/>
            <w:shd w:val="clear" w:color="auto" w:fill="D9D9D9"/>
            <w:vAlign w:val="center"/>
          </w:tcPr>
          <w:p w14:paraId="366A6B50">
            <w:pPr>
              <w:jc w:val="center"/>
              <w:rPr>
                <w:rFonts w:ascii="宋体" w:hAnsi="宋体"/>
                <w:b/>
                <w:sz w:val="24"/>
                <w:szCs w:val="24"/>
              </w:rPr>
            </w:pPr>
          </w:p>
        </w:tc>
        <w:tc>
          <w:tcPr>
            <w:tcW w:w="1697" w:type="dxa"/>
            <w:shd w:val="clear" w:color="auto" w:fill="D9D9D9"/>
            <w:vAlign w:val="center"/>
          </w:tcPr>
          <w:p w14:paraId="4CC9E891">
            <w:pPr>
              <w:jc w:val="center"/>
              <w:rPr>
                <w:rFonts w:ascii="宋体" w:hAnsi="宋体"/>
                <w:b/>
                <w:sz w:val="24"/>
                <w:szCs w:val="24"/>
              </w:rPr>
            </w:pPr>
            <w:r>
              <w:rPr>
                <w:rFonts w:hint="eastAsia" w:ascii="宋体" w:hAnsi="宋体"/>
                <w:b/>
                <w:sz w:val="24"/>
                <w:szCs w:val="24"/>
              </w:rPr>
              <w:t>金额</w:t>
            </w:r>
          </w:p>
        </w:tc>
        <w:tc>
          <w:tcPr>
            <w:tcW w:w="1749" w:type="dxa"/>
            <w:shd w:val="clear" w:color="auto" w:fill="D9D9D9"/>
            <w:vAlign w:val="center"/>
          </w:tcPr>
          <w:p w14:paraId="234B4A5E">
            <w:pPr>
              <w:jc w:val="center"/>
              <w:rPr>
                <w:rFonts w:ascii="宋体" w:hAnsi="宋体"/>
                <w:b/>
                <w:sz w:val="24"/>
                <w:szCs w:val="24"/>
              </w:rPr>
            </w:pPr>
            <w:r>
              <w:rPr>
                <w:rFonts w:hint="eastAsia" w:ascii="宋体" w:hAnsi="宋体"/>
                <w:b/>
                <w:sz w:val="24"/>
                <w:szCs w:val="24"/>
              </w:rPr>
              <w:t>占产品总资产的比例（%）</w:t>
            </w:r>
          </w:p>
        </w:tc>
        <w:tc>
          <w:tcPr>
            <w:tcW w:w="1653" w:type="dxa"/>
            <w:shd w:val="clear" w:color="auto" w:fill="D9D9D9"/>
            <w:vAlign w:val="center"/>
          </w:tcPr>
          <w:p w14:paraId="4D1FEFD0">
            <w:pPr>
              <w:jc w:val="center"/>
              <w:rPr>
                <w:rFonts w:ascii="宋体" w:hAnsi="宋体"/>
                <w:b/>
                <w:sz w:val="24"/>
                <w:szCs w:val="24"/>
              </w:rPr>
            </w:pPr>
            <w:r>
              <w:rPr>
                <w:rFonts w:hint="eastAsia" w:ascii="宋体" w:hAnsi="宋体"/>
                <w:b/>
                <w:sz w:val="24"/>
                <w:szCs w:val="24"/>
              </w:rPr>
              <w:t>金额</w:t>
            </w:r>
          </w:p>
        </w:tc>
        <w:tc>
          <w:tcPr>
            <w:tcW w:w="1705" w:type="dxa"/>
            <w:shd w:val="clear" w:color="auto" w:fill="D9D9D9"/>
          </w:tcPr>
          <w:p w14:paraId="02F4F78B">
            <w:pPr>
              <w:jc w:val="center"/>
              <w:rPr>
                <w:rFonts w:ascii="宋体" w:hAnsi="宋体"/>
                <w:b/>
                <w:sz w:val="24"/>
                <w:szCs w:val="24"/>
              </w:rPr>
            </w:pPr>
            <w:r>
              <w:rPr>
                <w:rFonts w:hint="eastAsia" w:ascii="宋体" w:hAnsi="宋体"/>
                <w:b/>
                <w:sz w:val="24"/>
                <w:szCs w:val="24"/>
              </w:rPr>
              <w:t>占产品总资产的比例（%）</w:t>
            </w:r>
          </w:p>
        </w:tc>
      </w:tr>
      <w:tr w14:paraId="5922A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DD222C1">
            <w:pPr>
              <w:widowControl/>
              <w:jc w:val="center"/>
              <w:rPr>
                <w:rFonts w:ascii="宋体" w:hAnsi="宋体" w:cs="宋体"/>
                <w:color w:val="000000"/>
                <w:sz w:val="24"/>
                <w:szCs w:val="24"/>
              </w:rPr>
            </w:pPr>
            <w:r>
              <w:rPr>
                <w:rFonts w:hint="eastAsia" w:ascii="宋体" w:hAnsi="宋体" w:cs="宋体"/>
                <w:color w:val="000000"/>
                <w:sz w:val="24"/>
                <w:szCs w:val="24"/>
              </w:rPr>
              <w:t>1</w:t>
            </w:r>
          </w:p>
        </w:tc>
        <w:tc>
          <w:tcPr>
            <w:tcW w:w="1447" w:type="dxa"/>
            <w:tcBorders>
              <w:top w:val="nil"/>
              <w:left w:val="nil"/>
              <w:bottom w:val="single" w:color="auto" w:sz="4" w:space="0"/>
              <w:right w:val="single" w:color="auto" w:sz="4" w:space="0"/>
            </w:tcBorders>
            <w:shd w:val="clear" w:color="auto" w:fill="auto"/>
            <w:vAlign w:val="center"/>
          </w:tcPr>
          <w:p w14:paraId="214087F7">
            <w:pPr>
              <w:widowControl/>
              <w:rPr>
                <w:rFonts w:ascii="宋体" w:hAnsi="宋体" w:cs="宋体"/>
                <w:color w:val="000000"/>
                <w:sz w:val="24"/>
                <w:szCs w:val="24"/>
              </w:rPr>
            </w:pPr>
            <w:r>
              <w:rPr>
                <w:rFonts w:hint="eastAsia" w:ascii="宋体" w:hAnsi="宋体" w:cs="宋体"/>
                <w:color w:val="000000"/>
                <w:sz w:val="24"/>
                <w:szCs w:val="24"/>
              </w:rPr>
              <w:t>权益投资</w:t>
            </w:r>
          </w:p>
        </w:tc>
        <w:tc>
          <w:tcPr>
            <w:tcW w:w="1697" w:type="dxa"/>
            <w:shd w:val="clear" w:color="auto" w:fill="auto"/>
            <w:vAlign w:val="center"/>
          </w:tcPr>
          <w:p w14:paraId="1EBC9194">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4B21505E">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13960DA8">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2EEBE20A">
            <w:pPr>
              <w:jc w:val="right"/>
              <w:rPr>
                <w:rFonts w:ascii="宋体" w:hAnsi="宋体" w:cs="宋体"/>
                <w:color w:val="000000"/>
                <w:sz w:val="24"/>
                <w:szCs w:val="24"/>
              </w:rPr>
            </w:pPr>
            <w:r>
              <w:rPr>
                <w:rFonts w:ascii="宋体" w:hAnsi="宋体" w:cs="宋体"/>
                <w:color w:val="000000"/>
                <w:sz w:val="24"/>
                <w:szCs w:val="24"/>
              </w:rPr>
              <w:t>0.00</w:t>
            </w:r>
          </w:p>
        </w:tc>
      </w:tr>
      <w:tr w14:paraId="2A96D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3E457932">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3C8C330F">
            <w:pPr>
              <w:widowControl/>
              <w:rPr>
                <w:rFonts w:ascii="宋体" w:hAnsi="宋体" w:cs="宋体"/>
                <w:color w:val="000000"/>
                <w:sz w:val="24"/>
                <w:szCs w:val="24"/>
              </w:rPr>
            </w:pPr>
            <w:r>
              <w:rPr>
                <w:rFonts w:hint="eastAsia" w:ascii="宋体" w:hAnsi="宋体" w:cs="宋体"/>
                <w:color w:val="000000"/>
                <w:sz w:val="24"/>
                <w:szCs w:val="24"/>
              </w:rPr>
              <w:t>其中：普通股</w:t>
            </w:r>
          </w:p>
        </w:tc>
        <w:tc>
          <w:tcPr>
            <w:tcW w:w="1697" w:type="dxa"/>
            <w:shd w:val="clear" w:color="auto" w:fill="auto"/>
            <w:vAlign w:val="center"/>
          </w:tcPr>
          <w:p w14:paraId="5A66330A">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41DFCD8F">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328DED3F">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24415225">
            <w:pPr>
              <w:jc w:val="right"/>
              <w:rPr>
                <w:rFonts w:ascii="宋体" w:hAnsi="宋体" w:cs="宋体"/>
                <w:color w:val="000000"/>
                <w:sz w:val="24"/>
                <w:szCs w:val="24"/>
              </w:rPr>
            </w:pPr>
            <w:r>
              <w:rPr>
                <w:rFonts w:ascii="宋体" w:hAnsi="宋体" w:cs="宋体"/>
                <w:color w:val="000000"/>
                <w:sz w:val="24"/>
                <w:szCs w:val="24"/>
              </w:rPr>
              <w:t>0.00</w:t>
            </w:r>
          </w:p>
        </w:tc>
      </w:tr>
      <w:tr w14:paraId="33CD0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7D44BA34">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57333985">
            <w:pPr>
              <w:widowControl/>
              <w:rPr>
                <w:rFonts w:ascii="宋体" w:hAnsi="宋体" w:cs="宋体"/>
                <w:color w:val="000000"/>
                <w:sz w:val="24"/>
                <w:szCs w:val="24"/>
              </w:rPr>
            </w:pPr>
            <w:r>
              <w:rPr>
                <w:rFonts w:hint="eastAsia" w:ascii="宋体" w:hAnsi="宋体" w:cs="宋体"/>
                <w:color w:val="000000"/>
                <w:sz w:val="24"/>
                <w:szCs w:val="24"/>
              </w:rPr>
              <w:t xml:space="preserve">   存托凭证</w:t>
            </w:r>
          </w:p>
        </w:tc>
        <w:tc>
          <w:tcPr>
            <w:tcW w:w="1697" w:type="dxa"/>
            <w:shd w:val="clear" w:color="auto" w:fill="auto"/>
            <w:vAlign w:val="center"/>
          </w:tcPr>
          <w:p w14:paraId="225FFD40">
            <w:pPr>
              <w:jc w:val="right"/>
              <w:rPr>
                <w:rFonts w:ascii="宋体" w:hAnsi="宋体" w:cs="宋体"/>
                <w:color w:val="000000"/>
                <w:sz w:val="24"/>
                <w:szCs w:val="24"/>
              </w:rPr>
            </w:pPr>
          </w:p>
        </w:tc>
        <w:tc>
          <w:tcPr>
            <w:tcW w:w="1749" w:type="dxa"/>
            <w:shd w:val="clear" w:color="auto" w:fill="auto"/>
            <w:vAlign w:val="center"/>
          </w:tcPr>
          <w:p w14:paraId="2FCA098E">
            <w:pPr>
              <w:jc w:val="right"/>
              <w:rPr>
                <w:rFonts w:ascii="宋体" w:hAnsi="宋体" w:cs="宋体"/>
                <w:color w:val="000000"/>
                <w:sz w:val="24"/>
                <w:szCs w:val="24"/>
              </w:rPr>
            </w:pPr>
          </w:p>
        </w:tc>
        <w:tc>
          <w:tcPr>
            <w:tcW w:w="1653" w:type="dxa"/>
            <w:vAlign w:val="center"/>
          </w:tcPr>
          <w:p w14:paraId="0C325E8D">
            <w:pPr>
              <w:jc w:val="right"/>
              <w:rPr>
                <w:rFonts w:ascii="宋体" w:hAnsi="宋体" w:cs="宋体"/>
                <w:color w:val="000000"/>
                <w:sz w:val="24"/>
                <w:szCs w:val="24"/>
              </w:rPr>
            </w:pPr>
          </w:p>
        </w:tc>
        <w:tc>
          <w:tcPr>
            <w:tcW w:w="1705" w:type="dxa"/>
            <w:vAlign w:val="center"/>
          </w:tcPr>
          <w:p w14:paraId="56EB82D2">
            <w:pPr>
              <w:jc w:val="right"/>
              <w:rPr>
                <w:rFonts w:ascii="宋体" w:hAnsi="宋体" w:cs="宋体"/>
                <w:color w:val="000000"/>
                <w:sz w:val="24"/>
                <w:szCs w:val="24"/>
              </w:rPr>
            </w:pPr>
          </w:p>
        </w:tc>
      </w:tr>
      <w:tr w14:paraId="5312E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B89746C">
            <w:pPr>
              <w:widowControl/>
              <w:jc w:val="center"/>
              <w:rPr>
                <w:rFonts w:ascii="宋体" w:hAnsi="宋体" w:cs="宋体"/>
                <w:color w:val="000000"/>
                <w:sz w:val="24"/>
                <w:szCs w:val="24"/>
              </w:rPr>
            </w:pPr>
            <w:r>
              <w:rPr>
                <w:rFonts w:hint="eastAsia" w:ascii="宋体" w:hAnsi="宋体" w:cs="宋体"/>
                <w:color w:val="000000"/>
                <w:sz w:val="24"/>
                <w:szCs w:val="24"/>
              </w:rPr>
              <w:t>2</w:t>
            </w:r>
          </w:p>
        </w:tc>
        <w:tc>
          <w:tcPr>
            <w:tcW w:w="1447" w:type="dxa"/>
            <w:tcBorders>
              <w:top w:val="nil"/>
              <w:left w:val="nil"/>
              <w:bottom w:val="single" w:color="auto" w:sz="4" w:space="0"/>
              <w:right w:val="single" w:color="auto" w:sz="4" w:space="0"/>
            </w:tcBorders>
            <w:shd w:val="clear" w:color="auto" w:fill="auto"/>
            <w:vAlign w:val="center"/>
          </w:tcPr>
          <w:p w14:paraId="6187BB89">
            <w:pPr>
              <w:widowControl/>
              <w:rPr>
                <w:rFonts w:ascii="宋体" w:hAnsi="宋体" w:cs="宋体"/>
                <w:color w:val="000000"/>
                <w:sz w:val="24"/>
                <w:szCs w:val="24"/>
              </w:rPr>
            </w:pPr>
            <w:r>
              <w:rPr>
                <w:rFonts w:hint="eastAsia" w:ascii="宋体" w:hAnsi="宋体" w:cs="宋体"/>
                <w:color w:val="000000"/>
                <w:sz w:val="24"/>
                <w:szCs w:val="24"/>
              </w:rPr>
              <w:t>基金投资</w:t>
            </w:r>
          </w:p>
        </w:tc>
        <w:tc>
          <w:tcPr>
            <w:tcW w:w="1697" w:type="dxa"/>
            <w:shd w:val="clear" w:color="auto" w:fill="auto"/>
            <w:vAlign w:val="center"/>
          </w:tcPr>
          <w:p w14:paraId="318788E7">
            <w:pPr>
              <w:jc w:val="right"/>
              <w:rPr>
                <w:rFonts w:ascii="宋体" w:hAnsi="宋体" w:cs="宋体"/>
                <w:color w:val="000000"/>
                <w:sz w:val="24"/>
                <w:szCs w:val="24"/>
              </w:rPr>
            </w:pPr>
            <w:r>
              <w:rPr>
                <w:rFonts w:ascii="宋体" w:hAnsi="宋体" w:cs="宋体"/>
                <w:color w:val="000000"/>
                <w:sz w:val="24"/>
                <w:szCs w:val="24"/>
              </w:rPr>
              <w:t>10,016,486.88</w:t>
            </w:r>
          </w:p>
        </w:tc>
        <w:tc>
          <w:tcPr>
            <w:tcW w:w="1749" w:type="dxa"/>
            <w:shd w:val="clear" w:color="auto" w:fill="auto"/>
            <w:vAlign w:val="center"/>
          </w:tcPr>
          <w:p w14:paraId="10CBE3D5">
            <w:pPr>
              <w:jc w:val="right"/>
              <w:rPr>
                <w:rFonts w:ascii="宋体" w:hAnsi="宋体" w:cs="宋体"/>
                <w:color w:val="000000"/>
                <w:sz w:val="24"/>
                <w:szCs w:val="24"/>
              </w:rPr>
            </w:pPr>
            <w:r>
              <w:rPr>
                <w:rFonts w:ascii="宋体" w:hAnsi="宋体" w:cs="宋体"/>
                <w:color w:val="000000"/>
                <w:sz w:val="24"/>
                <w:szCs w:val="24"/>
              </w:rPr>
              <w:t>0.19</w:t>
            </w:r>
          </w:p>
        </w:tc>
        <w:tc>
          <w:tcPr>
            <w:tcW w:w="1653" w:type="dxa"/>
            <w:vAlign w:val="center"/>
          </w:tcPr>
          <w:p w14:paraId="0D8CF4F3">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3E94D3BC">
            <w:pPr>
              <w:jc w:val="right"/>
              <w:rPr>
                <w:rFonts w:ascii="宋体" w:hAnsi="宋体" w:cs="宋体"/>
                <w:color w:val="000000"/>
                <w:sz w:val="24"/>
                <w:szCs w:val="24"/>
              </w:rPr>
            </w:pPr>
            <w:r>
              <w:rPr>
                <w:rFonts w:ascii="宋体" w:hAnsi="宋体" w:cs="宋体"/>
                <w:color w:val="000000"/>
                <w:sz w:val="24"/>
                <w:szCs w:val="24"/>
              </w:rPr>
              <w:t>0.00</w:t>
            </w:r>
          </w:p>
        </w:tc>
      </w:tr>
      <w:tr w14:paraId="20601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1F4B8D7">
            <w:pPr>
              <w:widowControl/>
              <w:jc w:val="center"/>
              <w:rPr>
                <w:rFonts w:ascii="宋体" w:hAnsi="宋体" w:cs="宋体"/>
                <w:color w:val="000000"/>
                <w:sz w:val="24"/>
                <w:szCs w:val="24"/>
              </w:rPr>
            </w:pPr>
            <w:r>
              <w:rPr>
                <w:rFonts w:hint="eastAsia" w:ascii="宋体" w:hAnsi="宋体" w:cs="宋体"/>
                <w:color w:val="000000"/>
                <w:sz w:val="24"/>
                <w:szCs w:val="24"/>
              </w:rPr>
              <w:t>3</w:t>
            </w:r>
          </w:p>
        </w:tc>
        <w:tc>
          <w:tcPr>
            <w:tcW w:w="1447" w:type="dxa"/>
            <w:tcBorders>
              <w:top w:val="nil"/>
              <w:left w:val="nil"/>
              <w:bottom w:val="single" w:color="auto" w:sz="4" w:space="0"/>
              <w:right w:val="single" w:color="auto" w:sz="4" w:space="0"/>
            </w:tcBorders>
            <w:shd w:val="clear" w:color="auto" w:fill="auto"/>
            <w:vAlign w:val="center"/>
          </w:tcPr>
          <w:p w14:paraId="1C8C1D64">
            <w:pPr>
              <w:widowControl/>
              <w:rPr>
                <w:rFonts w:ascii="宋体" w:hAnsi="宋体" w:cs="宋体"/>
                <w:color w:val="000000"/>
                <w:sz w:val="24"/>
                <w:szCs w:val="24"/>
              </w:rPr>
            </w:pPr>
            <w:r>
              <w:rPr>
                <w:rFonts w:hint="eastAsia" w:ascii="宋体" w:hAnsi="宋体" w:cs="宋体"/>
                <w:color w:val="000000"/>
                <w:sz w:val="24"/>
                <w:szCs w:val="24"/>
              </w:rPr>
              <w:t>固定收益投资</w:t>
            </w:r>
          </w:p>
        </w:tc>
        <w:tc>
          <w:tcPr>
            <w:tcW w:w="1697" w:type="dxa"/>
            <w:shd w:val="clear" w:color="auto" w:fill="auto"/>
            <w:vAlign w:val="center"/>
          </w:tcPr>
          <w:p w14:paraId="520F739C">
            <w:pPr>
              <w:jc w:val="right"/>
              <w:rPr>
                <w:rFonts w:ascii="宋体" w:hAnsi="宋体" w:cs="宋体"/>
                <w:color w:val="000000"/>
                <w:sz w:val="24"/>
                <w:szCs w:val="24"/>
              </w:rPr>
            </w:pPr>
            <w:r>
              <w:rPr>
                <w:rFonts w:ascii="宋体" w:hAnsi="宋体" w:cs="宋体"/>
                <w:color w:val="000000"/>
                <w:sz w:val="24"/>
                <w:szCs w:val="24"/>
              </w:rPr>
              <w:t>4,017,210,187.08</w:t>
            </w:r>
          </w:p>
        </w:tc>
        <w:tc>
          <w:tcPr>
            <w:tcW w:w="1749" w:type="dxa"/>
            <w:shd w:val="clear" w:color="auto" w:fill="auto"/>
            <w:vAlign w:val="center"/>
          </w:tcPr>
          <w:p w14:paraId="782A8A69">
            <w:pPr>
              <w:jc w:val="right"/>
              <w:rPr>
                <w:rFonts w:ascii="宋体" w:hAnsi="宋体" w:cs="宋体"/>
                <w:color w:val="000000"/>
                <w:sz w:val="24"/>
                <w:szCs w:val="24"/>
              </w:rPr>
            </w:pPr>
            <w:r>
              <w:rPr>
                <w:rFonts w:ascii="宋体" w:hAnsi="宋体" w:cs="宋体"/>
                <w:color w:val="000000"/>
                <w:sz w:val="24"/>
                <w:szCs w:val="24"/>
              </w:rPr>
              <w:t>74.22</w:t>
            </w:r>
          </w:p>
        </w:tc>
        <w:tc>
          <w:tcPr>
            <w:tcW w:w="1653" w:type="dxa"/>
            <w:vAlign w:val="center"/>
          </w:tcPr>
          <w:p w14:paraId="45F08BA7">
            <w:pPr>
              <w:jc w:val="right"/>
              <w:rPr>
                <w:rFonts w:ascii="宋体" w:hAnsi="宋体" w:cs="宋体"/>
                <w:color w:val="000000"/>
                <w:sz w:val="24"/>
                <w:szCs w:val="24"/>
              </w:rPr>
            </w:pPr>
            <w:r>
              <w:rPr>
                <w:rFonts w:ascii="宋体" w:hAnsi="宋体" w:cs="宋体"/>
                <w:color w:val="000000"/>
                <w:sz w:val="24"/>
                <w:szCs w:val="24"/>
              </w:rPr>
              <w:t>460,428,054.54</w:t>
            </w:r>
          </w:p>
        </w:tc>
        <w:tc>
          <w:tcPr>
            <w:tcW w:w="1705" w:type="dxa"/>
            <w:vAlign w:val="center"/>
          </w:tcPr>
          <w:p w14:paraId="6C214DAA">
            <w:pPr>
              <w:jc w:val="right"/>
              <w:rPr>
                <w:rFonts w:ascii="宋体" w:hAnsi="宋体" w:cs="宋体"/>
                <w:color w:val="000000"/>
                <w:sz w:val="24"/>
                <w:szCs w:val="24"/>
              </w:rPr>
            </w:pPr>
            <w:r>
              <w:rPr>
                <w:rFonts w:ascii="宋体" w:hAnsi="宋体" w:cs="宋体"/>
                <w:color w:val="000000"/>
                <w:sz w:val="24"/>
                <w:szCs w:val="24"/>
              </w:rPr>
              <w:t>8.51</w:t>
            </w:r>
          </w:p>
        </w:tc>
      </w:tr>
      <w:tr w14:paraId="701D7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45C180AE">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nil"/>
              <w:right w:val="single" w:color="auto" w:sz="4" w:space="0"/>
            </w:tcBorders>
            <w:shd w:val="clear" w:color="auto" w:fill="auto"/>
            <w:vAlign w:val="center"/>
          </w:tcPr>
          <w:p w14:paraId="2CD147F0">
            <w:pPr>
              <w:widowControl/>
              <w:rPr>
                <w:rFonts w:ascii="宋体" w:hAnsi="宋体" w:cs="宋体"/>
                <w:color w:val="000000"/>
                <w:sz w:val="24"/>
                <w:szCs w:val="24"/>
              </w:rPr>
            </w:pPr>
            <w:r>
              <w:rPr>
                <w:rFonts w:hint="eastAsia" w:ascii="宋体" w:hAnsi="宋体" w:cs="宋体"/>
                <w:color w:val="000000"/>
                <w:sz w:val="24"/>
                <w:szCs w:val="24"/>
              </w:rPr>
              <w:t>其中：债券</w:t>
            </w:r>
          </w:p>
        </w:tc>
        <w:tc>
          <w:tcPr>
            <w:tcW w:w="1697" w:type="dxa"/>
            <w:shd w:val="clear" w:color="auto" w:fill="auto"/>
            <w:vAlign w:val="center"/>
          </w:tcPr>
          <w:p w14:paraId="2DC8739E">
            <w:pPr>
              <w:jc w:val="right"/>
              <w:rPr>
                <w:rFonts w:ascii="宋体" w:hAnsi="宋体" w:cs="宋体"/>
                <w:color w:val="000000"/>
                <w:sz w:val="24"/>
                <w:szCs w:val="24"/>
              </w:rPr>
            </w:pPr>
            <w:r>
              <w:rPr>
                <w:rFonts w:ascii="宋体" w:hAnsi="宋体" w:cs="宋体"/>
                <w:color w:val="000000"/>
                <w:sz w:val="24"/>
                <w:szCs w:val="24"/>
              </w:rPr>
              <w:t>3,688,326,773.84</w:t>
            </w:r>
          </w:p>
        </w:tc>
        <w:tc>
          <w:tcPr>
            <w:tcW w:w="1749" w:type="dxa"/>
            <w:shd w:val="clear" w:color="auto" w:fill="auto"/>
            <w:vAlign w:val="center"/>
          </w:tcPr>
          <w:p w14:paraId="1A103941">
            <w:pPr>
              <w:jc w:val="right"/>
              <w:rPr>
                <w:rFonts w:ascii="宋体" w:hAnsi="宋体" w:cs="宋体"/>
                <w:color w:val="000000"/>
                <w:sz w:val="24"/>
                <w:szCs w:val="24"/>
              </w:rPr>
            </w:pPr>
            <w:r>
              <w:rPr>
                <w:rFonts w:ascii="宋体" w:hAnsi="宋体" w:cs="宋体"/>
                <w:color w:val="000000"/>
                <w:sz w:val="24"/>
                <w:szCs w:val="24"/>
              </w:rPr>
              <w:t>68.14</w:t>
            </w:r>
          </w:p>
        </w:tc>
        <w:tc>
          <w:tcPr>
            <w:tcW w:w="1653" w:type="dxa"/>
            <w:vAlign w:val="center"/>
          </w:tcPr>
          <w:p w14:paraId="2AA6A5EC">
            <w:pPr>
              <w:jc w:val="right"/>
              <w:rPr>
                <w:rFonts w:ascii="宋体" w:hAnsi="宋体" w:cs="宋体"/>
                <w:color w:val="000000"/>
                <w:sz w:val="24"/>
                <w:szCs w:val="24"/>
              </w:rPr>
            </w:pPr>
            <w:r>
              <w:rPr>
                <w:rFonts w:ascii="宋体" w:hAnsi="宋体" w:cs="宋体"/>
                <w:color w:val="000000"/>
                <w:sz w:val="24"/>
                <w:szCs w:val="24"/>
              </w:rPr>
              <w:t>460,428,054.54</w:t>
            </w:r>
          </w:p>
        </w:tc>
        <w:tc>
          <w:tcPr>
            <w:tcW w:w="1705" w:type="dxa"/>
            <w:vAlign w:val="center"/>
          </w:tcPr>
          <w:p w14:paraId="151D9EC3">
            <w:pPr>
              <w:jc w:val="right"/>
              <w:rPr>
                <w:rFonts w:ascii="宋体" w:hAnsi="宋体" w:cs="宋体"/>
                <w:color w:val="000000"/>
                <w:sz w:val="24"/>
                <w:szCs w:val="24"/>
              </w:rPr>
            </w:pPr>
            <w:r>
              <w:rPr>
                <w:rFonts w:ascii="宋体" w:hAnsi="宋体" w:cs="宋体"/>
                <w:color w:val="000000"/>
                <w:sz w:val="24"/>
                <w:szCs w:val="24"/>
              </w:rPr>
              <w:t>8.51</w:t>
            </w:r>
          </w:p>
        </w:tc>
      </w:tr>
      <w:tr w14:paraId="1AB3E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1A354B35">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0287B338">
            <w:pPr>
              <w:widowControl/>
              <w:rPr>
                <w:rFonts w:ascii="宋体" w:hAnsi="宋体" w:cs="宋体"/>
                <w:color w:val="000000"/>
                <w:sz w:val="24"/>
                <w:szCs w:val="24"/>
              </w:rPr>
            </w:pPr>
            <w:r>
              <w:rPr>
                <w:rFonts w:hint="eastAsia" w:ascii="宋体" w:hAnsi="宋体" w:cs="宋体"/>
                <w:color w:val="000000"/>
                <w:sz w:val="24"/>
                <w:szCs w:val="24"/>
              </w:rPr>
              <w:t>资产支持证券</w:t>
            </w:r>
          </w:p>
        </w:tc>
        <w:tc>
          <w:tcPr>
            <w:tcW w:w="1697" w:type="dxa"/>
            <w:shd w:val="clear" w:color="auto" w:fill="auto"/>
            <w:vAlign w:val="center"/>
          </w:tcPr>
          <w:p w14:paraId="12E8E9A3">
            <w:pPr>
              <w:jc w:val="right"/>
              <w:rPr>
                <w:rFonts w:ascii="宋体" w:hAnsi="宋体" w:cs="宋体"/>
                <w:color w:val="000000"/>
                <w:sz w:val="24"/>
                <w:szCs w:val="24"/>
              </w:rPr>
            </w:pPr>
            <w:r>
              <w:rPr>
                <w:rFonts w:ascii="宋体" w:hAnsi="宋体" w:cs="宋体"/>
                <w:color w:val="000000"/>
                <w:sz w:val="24"/>
                <w:szCs w:val="24"/>
              </w:rPr>
              <w:t>328,883,413.24</w:t>
            </w:r>
          </w:p>
        </w:tc>
        <w:tc>
          <w:tcPr>
            <w:tcW w:w="1749" w:type="dxa"/>
            <w:shd w:val="clear" w:color="auto" w:fill="auto"/>
            <w:vAlign w:val="center"/>
          </w:tcPr>
          <w:p w14:paraId="3C8E42BF">
            <w:pPr>
              <w:jc w:val="right"/>
              <w:rPr>
                <w:rFonts w:ascii="宋体" w:hAnsi="宋体" w:cs="宋体"/>
                <w:color w:val="000000"/>
                <w:sz w:val="24"/>
                <w:szCs w:val="24"/>
              </w:rPr>
            </w:pPr>
            <w:r>
              <w:rPr>
                <w:rFonts w:ascii="宋体" w:hAnsi="宋体" w:cs="宋体"/>
                <w:color w:val="000000"/>
                <w:sz w:val="24"/>
                <w:szCs w:val="24"/>
              </w:rPr>
              <w:t>6.08</w:t>
            </w:r>
          </w:p>
        </w:tc>
        <w:tc>
          <w:tcPr>
            <w:tcW w:w="1653" w:type="dxa"/>
            <w:vAlign w:val="center"/>
          </w:tcPr>
          <w:p w14:paraId="4486775A">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15DBBC7E">
            <w:pPr>
              <w:jc w:val="right"/>
              <w:rPr>
                <w:rFonts w:ascii="宋体" w:hAnsi="宋体" w:cs="宋体"/>
                <w:color w:val="000000"/>
                <w:sz w:val="24"/>
                <w:szCs w:val="24"/>
              </w:rPr>
            </w:pPr>
            <w:r>
              <w:rPr>
                <w:rFonts w:ascii="宋体" w:hAnsi="宋体" w:cs="宋体"/>
                <w:color w:val="000000"/>
                <w:sz w:val="24"/>
                <w:szCs w:val="24"/>
              </w:rPr>
              <w:t>0.00</w:t>
            </w:r>
          </w:p>
        </w:tc>
      </w:tr>
      <w:tr w14:paraId="644A1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3947DD0">
            <w:pPr>
              <w:widowControl/>
              <w:jc w:val="center"/>
              <w:rPr>
                <w:rFonts w:ascii="宋体" w:hAnsi="宋体" w:cs="宋体"/>
                <w:color w:val="000000"/>
                <w:sz w:val="24"/>
                <w:szCs w:val="24"/>
              </w:rPr>
            </w:pPr>
            <w:r>
              <w:rPr>
                <w:rFonts w:hint="eastAsia" w:ascii="宋体" w:hAnsi="宋体" w:cs="宋体"/>
                <w:color w:val="000000"/>
                <w:sz w:val="24"/>
                <w:szCs w:val="24"/>
              </w:rPr>
              <w:t>4</w:t>
            </w:r>
          </w:p>
        </w:tc>
        <w:tc>
          <w:tcPr>
            <w:tcW w:w="1447" w:type="dxa"/>
            <w:tcBorders>
              <w:top w:val="nil"/>
              <w:left w:val="nil"/>
              <w:bottom w:val="single" w:color="auto" w:sz="4" w:space="0"/>
              <w:right w:val="single" w:color="auto" w:sz="4" w:space="0"/>
            </w:tcBorders>
            <w:shd w:val="clear" w:color="auto" w:fill="auto"/>
            <w:vAlign w:val="center"/>
          </w:tcPr>
          <w:p w14:paraId="6014ED3F">
            <w:pPr>
              <w:widowControl/>
              <w:rPr>
                <w:rFonts w:ascii="宋体" w:hAnsi="宋体" w:cs="宋体"/>
                <w:color w:val="000000"/>
                <w:sz w:val="24"/>
                <w:szCs w:val="24"/>
              </w:rPr>
            </w:pPr>
            <w:r>
              <w:rPr>
                <w:rFonts w:hint="eastAsia" w:ascii="宋体" w:hAnsi="宋体" w:cs="宋体"/>
                <w:color w:val="000000"/>
                <w:sz w:val="24"/>
                <w:szCs w:val="24"/>
              </w:rPr>
              <w:t>金融衍生品投资</w:t>
            </w:r>
          </w:p>
        </w:tc>
        <w:tc>
          <w:tcPr>
            <w:tcW w:w="1697" w:type="dxa"/>
            <w:shd w:val="clear" w:color="auto" w:fill="auto"/>
            <w:vAlign w:val="center"/>
          </w:tcPr>
          <w:p w14:paraId="042F920C">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4D78D819">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3BED9A4C">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48EA4568">
            <w:pPr>
              <w:jc w:val="right"/>
              <w:rPr>
                <w:rFonts w:ascii="宋体" w:hAnsi="宋体" w:cs="宋体"/>
                <w:color w:val="000000"/>
                <w:sz w:val="24"/>
                <w:szCs w:val="24"/>
              </w:rPr>
            </w:pPr>
            <w:r>
              <w:rPr>
                <w:rFonts w:ascii="宋体" w:hAnsi="宋体" w:cs="宋体"/>
                <w:color w:val="000000"/>
                <w:sz w:val="24"/>
                <w:szCs w:val="24"/>
              </w:rPr>
              <w:t>0.00</w:t>
            </w:r>
          </w:p>
        </w:tc>
      </w:tr>
      <w:tr w14:paraId="23EE5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8A70D88">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12BBB9E4">
            <w:pPr>
              <w:widowControl/>
              <w:rPr>
                <w:rFonts w:ascii="宋体" w:hAnsi="宋体" w:cs="宋体"/>
                <w:color w:val="000000"/>
                <w:sz w:val="24"/>
                <w:szCs w:val="24"/>
              </w:rPr>
            </w:pPr>
            <w:r>
              <w:rPr>
                <w:rFonts w:hint="eastAsia" w:ascii="宋体" w:hAnsi="宋体" w:cs="宋体"/>
                <w:color w:val="000000"/>
                <w:sz w:val="24"/>
                <w:szCs w:val="24"/>
              </w:rPr>
              <w:t>其中：远期</w:t>
            </w:r>
          </w:p>
        </w:tc>
        <w:tc>
          <w:tcPr>
            <w:tcW w:w="1697" w:type="dxa"/>
            <w:shd w:val="clear" w:color="auto" w:fill="auto"/>
            <w:vAlign w:val="center"/>
          </w:tcPr>
          <w:p w14:paraId="4359707F">
            <w:pPr>
              <w:jc w:val="right"/>
              <w:rPr>
                <w:rFonts w:ascii="宋体" w:hAnsi="宋体" w:cs="宋体"/>
                <w:color w:val="000000"/>
                <w:sz w:val="24"/>
                <w:szCs w:val="24"/>
              </w:rPr>
            </w:pPr>
          </w:p>
        </w:tc>
        <w:tc>
          <w:tcPr>
            <w:tcW w:w="1749" w:type="dxa"/>
            <w:shd w:val="clear" w:color="auto" w:fill="auto"/>
            <w:vAlign w:val="center"/>
          </w:tcPr>
          <w:p w14:paraId="5FD86DB1">
            <w:pPr>
              <w:jc w:val="right"/>
              <w:rPr>
                <w:rFonts w:ascii="宋体" w:hAnsi="宋体" w:cs="宋体"/>
                <w:color w:val="000000"/>
                <w:sz w:val="24"/>
                <w:szCs w:val="24"/>
              </w:rPr>
            </w:pPr>
          </w:p>
        </w:tc>
        <w:tc>
          <w:tcPr>
            <w:tcW w:w="1653" w:type="dxa"/>
            <w:vAlign w:val="center"/>
          </w:tcPr>
          <w:p w14:paraId="4F6ADEDF">
            <w:pPr>
              <w:jc w:val="right"/>
              <w:rPr>
                <w:rFonts w:ascii="宋体" w:hAnsi="宋体" w:cs="宋体"/>
                <w:color w:val="000000"/>
                <w:sz w:val="24"/>
                <w:szCs w:val="24"/>
              </w:rPr>
            </w:pPr>
          </w:p>
        </w:tc>
        <w:tc>
          <w:tcPr>
            <w:tcW w:w="1705" w:type="dxa"/>
            <w:vAlign w:val="center"/>
          </w:tcPr>
          <w:p w14:paraId="639A5B3B">
            <w:pPr>
              <w:jc w:val="right"/>
              <w:rPr>
                <w:rFonts w:ascii="宋体" w:hAnsi="宋体" w:cs="宋体"/>
                <w:color w:val="000000"/>
                <w:sz w:val="24"/>
                <w:szCs w:val="24"/>
              </w:rPr>
            </w:pPr>
          </w:p>
        </w:tc>
      </w:tr>
      <w:tr w14:paraId="0562F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36EB964">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0FCDF11B">
            <w:pPr>
              <w:widowControl/>
              <w:rPr>
                <w:rFonts w:ascii="宋体" w:hAnsi="宋体" w:cs="宋体"/>
                <w:color w:val="000000"/>
                <w:sz w:val="24"/>
                <w:szCs w:val="24"/>
              </w:rPr>
            </w:pPr>
            <w:r>
              <w:rPr>
                <w:rFonts w:hint="eastAsia" w:ascii="宋体" w:hAnsi="宋体" w:cs="宋体"/>
                <w:color w:val="000000"/>
                <w:sz w:val="24"/>
                <w:szCs w:val="24"/>
              </w:rPr>
              <w:t xml:space="preserve">      期货</w:t>
            </w:r>
          </w:p>
        </w:tc>
        <w:tc>
          <w:tcPr>
            <w:tcW w:w="1697" w:type="dxa"/>
            <w:shd w:val="clear" w:color="auto" w:fill="auto"/>
            <w:vAlign w:val="center"/>
          </w:tcPr>
          <w:p w14:paraId="1BFF7457">
            <w:pPr>
              <w:jc w:val="right"/>
              <w:rPr>
                <w:rFonts w:ascii="宋体" w:hAnsi="宋体" w:cs="宋体"/>
                <w:color w:val="000000"/>
                <w:sz w:val="24"/>
                <w:szCs w:val="24"/>
              </w:rPr>
            </w:pPr>
          </w:p>
        </w:tc>
        <w:tc>
          <w:tcPr>
            <w:tcW w:w="1749" w:type="dxa"/>
            <w:shd w:val="clear" w:color="auto" w:fill="auto"/>
            <w:vAlign w:val="center"/>
          </w:tcPr>
          <w:p w14:paraId="03CAD478">
            <w:pPr>
              <w:jc w:val="right"/>
              <w:rPr>
                <w:rFonts w:ascii="宋体" w:hAnsi="宋体" w:cs="宋体"/>
                <w:color w:val="000000"/>
                <w:sz w:val="24"/>
                <w:szCs w:val="24"/>
              </w:rPr>
            </w:pPr>
          </w:p>
        </w:tc>
        <w:tc>
          <w:tcPr>
            <w:tcW w:w="1653" w:type="dxa"/>
            <w:vAlign w:val="center"/>
          </w:tcPr>
          <w:p w14:paraId="5CE9AC79">
            <w:pPr>
              <w:jc w:val="right"/>
              <w:rPr>
                <w:rFonts w:ascii="宋体" w:hAnsi="宋体" w:cs="宋体"/>
                <w:color w:val="000000"/>
                <w:sz w:val="24"/>
                <w:szCs w:val="24"/>
              </w:rPr>
            </w:pPr>
          </w:p>
        </w:tc>
        <w:tc>
          <w:tcPr>
            <w:tcW w:w="1705" w:type="dxa"/>
            <w:vAlign w:val="center"/>
          </w:tcPr>
          <w:p w14:paraId="0E28E697">
            <w:pPr>
              <w:jc w:val="right"/>
              <w:rPr>
                <w:rFonts w:ascii="宋体" w:hAnsi="宋体" w:cs="宋体"/>
                <w:color w:val="000000"/>
                <w:sz w:val="24"/>
                <w:szCs w:val="24"/>
              </w:rPr>
            </w:pPr>
          </w:p>
        </w:tc>
      </w:tr>
      <w:tr w14:paraId="1170C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F7293E3">
            <w:pPr>
              <w:widowControl/>
              <w:jc w:val="center"/>
              <w:rPr>
                <w:rFonts w:ascii="宋体" w:hAnsi="宋体" w:cs="宋体"/>
                <w:color w:val="000000"/>
                <w:sz w:val="24"/>
                <w:szCs w:val="24"/>
              </w:rPr>
            </w:pPr>
            <w:r>
              <w:rPr>
                <w:rFonts w:hint="eastAsia" w:ascii="宋体" w:hAnsi="宋体" w:cs="宋体"/>
                <w:color w:val="000000"/>
                <w:sz w:val="24"/>
                <w:szCs w:val="24"/>
              </w:rPr>
              <w:t xml:space="preserve"> </w:t>
            </w:r>
          </w:p>
        </w:tc>
        <w:tc>
          <w:tcPr>
            <w:tcW w:w="1447" w:type="dxa"/>
            <w:tcBorders>
              <w:top w:val="nil"/>
              <w:left w:val="nil"/>
              <w:bottom w:val="single" w:color="auto" w:sz="4" w:space="0"/>
              <w:right w:val="single" w:color="auto" w:sz="4" w:space="0"/>
            </w:tcBorders>
            <w:shd w:val="clear" w:color="auto" w:fill="auto"/>
            <w:vAlign w:val="center"/>
          </w:tcPr>
          <w:p w14:paraId="67C76B6F">
            <w:pPr>
              <w:widowControl/>
              <w:rPr>
                <w:rFonts w:ascii="宋体" w:hAnsi="宋体" w:cs="宋体"/>
                <w:color w:val="000000"/>
                <w:sz w:val="24"/>
                <w:szCs w:val="24"/>
              </w:rPr>
            </w:pPr>
            <w:r>
              <w:rPr>
                <w:rFonts w:hint="eastAsia" w:ascii="宋体" w:hAnsi="宋体" w:cs="宋体"/>
                <w:color w:val="000000"/>
                <w:sz w:val="24"/>
                <w:szCs w:val="24"/>
              </w:rPr>
              <w:t xml:space="preserve">      期权</w:t>
            </w:r>
          </w:p>
        </w:tc>
        <w:tc>
          <w:tcPr>
            <w:tcW w:w="1697" w:type="dxa"/>
            <w:shd w:val="clear" w:color="auto" w:fill="auto"/>
            <w:vAlign w:val="center"/>
          </w:tcPr>
          <w:p w14:paraId="04B53B11">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49B2B636">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7F8D0792">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0CDDB794">
            <w:pPr>
              <w:jc w:val="right"/>
              <w:rPr>
                <w:rFonts w:ascii="宋体" w:hAnsi="宋体" w:cs="宋体"/>
                <w:color w:val="000000"/>
                <w:sz w:val="24"/>
                <w:szCs w:val="24"/>
              </w:rPr>
            </w:pPr>
            <w:r>
              <w:rPr>
                <w:rFonts w:ascii="宋体" w:hAnsi="宋体" w:cs="宋体"/>
                <w:color w:val="000000"/>
                <w:sz w:val="24"/>
                <w:szCs w:val="24"/>
              </w:rPr>
              <w:t>0.00</w:t>
            </w:r>
          </w:p>
        </w:tc>
      </w:tr>
      <w:tr w14:paraId="749CC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1E48674">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5DDBFD8D">
            <w:pPr>
              <w:widowControl/>
              <w:rPr>
                <w:rFonts w:ascii="宋体" w:hAnsi="宋体" w:cs="宋体"/>
                <w:color w:val="000000"/>
                <w:sz w:val="24"/>
                <w:szCs w:val="24"/>
              </w:rPr>
            </w:pPr>
            <w:r>
              <w:rPr>
                <w:rFonts w:hint="eastAsia" w:ascii="宋体" w:hAnsi="宋体" w:cs="宋体"/>
                <w:color w:val="000000"/>
                <w:sz w:val="24"/>
                <w:szCs w:val="24"/>
              </w:rPr>
              <w:t xml:space="preserve">      权证</w:t>
            </w:r>
          </w:p>
        </w:tc>
        <w:tc>
          <w:tcPr>
            <w:tcW w:w="1697" w:type="dxa"/>
            <w:shd w:val="clear" w:color="auto" w:fill="auto"/>
            <w:vAlign w:val="center"/>
          </w:tcPr>
          <w:p w14:paraId="33DCC4FC">
            <w:pPr>
              <w:jc w:val="right"/>
              <w:rPr>
                <w:rFonts w:ascii="宋体" w:hAnsi="宋体" w:cs="宋体"/>
                <w:color w:val="000000"/>
                <w:sz w:val="24"/>
                <w:szCs w:val="24"/>
              </w:rPr>
            </w:pPr>
          </w:p>
        </w:tc>
        <w:tc>
          <w:tcPr>
            <w:tcW w:w="1749" w:type="dxa"/>
            <w:shd w:val="clear" w:color="auto" w:fill="auto"/>
            <w:vAlign w:val="center"/>
          </w:tcPr>
          <w:p w14:paraId="7162EB6A">
            <w:pPr>
              <w:jc w:val="right"/>
              <w:rPr>
                <w:rFonts w:ascii="宋体" w:hAnsi="宋体" w:cs="宋体"/>
                <w:color w:val="000000"/>
                <w:sz w:val="24"/>
                <w:szCs w:val="24"/>
              </w:rPr>
            </w:pPr>
          </w:p>
        </w:tc>
        <w:tc>
          <w:tcPr>
            <w:tcW w:w="1653" w:type="dxa"/>
            <w:vAlign w:val="center"/>
          </w:tcPr>
          <w:p w14:paraId="77120E98">
            <w:pPr>
              <w:jc w:val="right"/>
              <w:rPr>
                <w:rFonts w:ascii="宋体" w:hAnsi="宋体" w:cs="宋体"/>
                <w:color w:val="000000"/>
                <w:sz w:val="24"/>
                <w:szCs w:val="24"/>
              </w:rPr>
            </w:pPr>
          </w:p>
        </w:tc>
        <w:tc>
          <w:tcPr>
            <w:tcW w:w="1705" w:type="dxa"/>
            <w:vAlign w:val="center"/>
          </w:tcPr>
          <w:p w14:paraId="21694888">
            <w:pPr>
              <w:jc w:val="right"/>
              <w:rPr>
                <w:rFonts w:ascii="宋体" w:hAnsi="宋体" w:cs="宋体"/>
                <w:color w:val="000000"/>
                <w:sz w:val="24"/>
                <w:szCs w:val="24"/>
              </w:rPr>
            </w:pPr>
          </w:p>
        </w:tc>
      </w:tr>
      <w:tr w14:paraId="35F8D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D4EEB8F">
            <w:pPr>
              <w:widowControl/>
              <w:jc w:val="center"/>
              <w:rPr>
                <w:rFonts w:ascii="宋体" w:hAnsi="宋体" w:cs="宋体"/>
                <w:color w:val="000000"/>
                <w:sz w:val="24"/>
                <w:szCs w:val="24"/>
              </w:rPr>
            </w:pPr>
            <w:r>
              <w:rPr>
                <w:rFonts w:hint="eastAsia" w:ascii="宋体" w:hAnsi="宋体" w:cs="宋体"/>
                <w:color w:val="000000"/>
                <w:sz w:val="24"/>
                <w:szCs w:val="24"/>
              </w:rPr>
              <w:t>5</w:t>
            </w:r>
          </w:p>
        </w:tc>
        <w:tc>
          <w:tcPr>
            <w:tcW w:w="1447" w:type="dxa"/>
            <w:tcBorders>
              <w:top w:val="nil"/>
              <w:left w:val="nil"/>
              <w:bottom w:val="single" w:color="auto" w:sz="4" w:space="0"/>
              <w:right w:val="single" w:color="auto" w:sz="4" w:space="0"/>
            </w:tcBorders>
            <w:shd w:val="clear" w:color="auto" w:fill="auto"/>
            <w:vAlign w:val="center"/>
          </w:tcPr>
          <w:p w14:paraId="33AEE984">
            <w:pPr>
              <w:widowControl/>
              <w:rPr>
                <w:rFonts w:ascii="宋体" w:hAnsi="宋体" w:cs="宋体"/>
                <w:color w:val="000000"/>
                <w:sz w:val="24"/>
                <w:szCs w:val="24"/>
              </w:rPr>
            </w:pPr>
            <w:r>
              <w:rPr>
                <w:rFonts w:hint="eastAsia" w:ascii="宋体" w:hAnsi="宋体" w:cs="宋体"/>
                <w:color w:val="000000"/>
                <w:sz w:val="24"/>
                <w:szCs w:val="24"/>
              </w:rPr>
              <w:t>买入返售金融资产</w:t>
            </w:r>
          </w:p>
        </w:tc>
        <w:tc>
          <w:tcPr>
            <w:tcW w:w="1697" w:type="dxa"/>
            <w:shd w:val="clear" w:color="auto" w:fill="auto"/>
            <w:vAlign w:val="center"/>
          </w:tcPr>
          <w:p w14:paraId="3D6313CF">
            <w:pPr>
              <w:jc w:val="right"/>
              <w:rPr>
                <w:rFonts w:ascii="宋体" w:hAnsi="宋体" w:cs="宋体"/>
                <w:color w:val="000000"/>
                <w:sz w:val="24"/>
                <w:szCs w:val="24"/>
              </w:rPr>
            </w:pPr>
            <w:r>
              <w:rPr>
                <w:rFonts w:ascii="宋体" w:hAnsi="宋体" w:cs="宋体"/>
                <w:color w:val="000000"/>
                <w:sz w:val="24"/>
                <w:szCs w:val="24"/>
              </w:rPr>
              <w:t>950,775,065.40</w:t>
            </w:r>
          </w:p>
        </w:tc>
        <w:tc>
          <w:tcPr>
            <w:tcW w:w="1749" w:type="dxa"/>
            <w:shd w:val="clear" w:color="auto" w:fill="auto"/>
            <w:vAlign w:val="center"/>
          </w:tcPr>
          <w:p w14:paraId="2E0CAD8D">
            <w:pPr>
              <w:jc w:val="right"/>
              <w:rPr>
                <w:rFonts w:ascii="宋体" w:hAnsi="宋体" w:cs="宋体"/>
                <w:color w:val="000000"/>
                <w:sz w:val="24"/>
                <w:szCs w:val="24"/>
              </w:rPr>
            </w:pPr>
            <w:r>
              <w:rPr>
                <w:rFonts w:ascii="宋体" w:hAnsi="宋体" w:cs="宋体"/>
                <w:color w:val="000000"/>
                <w:sz w:val="24"/>
                <w:szCs w:val="24"/>
              </w:rPr>
              <w:t>17.57</w:t>
            </w:r>
          </w:p>
        </w:tc>
        <w:tc>
          <w:tcPr>
            <w:tcW w:w="1653" w:type="dxa"/>
            <w:vAlign w:val="center"/>
          </w:tcPr>
          <w:p w14:paraId="3D6A3856">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2933D8DE">
            <w:pPr>
              <w:jc w:val="right"/>
              <w:rPr>
                <w:rFonts w:ascii="宋体" w:hAnsi="宋体" w:cs="宋体"/>
                <w:color w:val="000000"/>
                <w:sz w:val="24"/>
                <w:szCs w:val="24"/>
              </w:rPr>
            </w:pPr>
            <w:r>
              <w:rPr>
                <w:rFonts w:ascii="宋体" w:hAnsi="宋体" w:cs="宋体"/>
                <w:color w:val="000000"/>
                <w:sz w:val="24"/>
                <w:szCs w:val="24"/>
              </w:rPr>
              <w:t>0.00</w:t>
            </w:r>
          </w:p>
        </w:tc>
      </w:tr>
      <w:tr w14:paraId="11A30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A42215C">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7DC1FA6C">
            <w:pPr>
              <w:widowControl/>
              <w:rPr>
                <w:rFonts w:ascii="宋体" w:hAnsi="宋体" w:cs="宋体"/>
                <w:color w:val="000000"/>
                <w:sz w:val="24"/>
                <w:szCs w:val="24"/>
              </w:rPr>
            </w:pPr>
            <w:r>
              <w:rPr>
                <w:rFonts w:hint="eastAsia" w:ascii="宋体" w:hAnsi="宋体" w:cs="宋体"/>
                <w:color w:val="000000"/>
                <w:sz w:val="24"/>
                <w:szCs w:val="24"/>
              </w:rPr>
              <w:t>其中：买断式回购的买入返售金融资产</w:t>
            </w:r>
          </w:p>
        </w:tc>
        <w:tc>
          <w:tcPr>
            <w:tcW w:w="1697" w:type="dxa"/>
            <w:shd w:val="clear" w:color="auto" w:fill="auto"/>
            <w:vAlign w:val="center"/>
          </w:tcPr>
          <w:p w14:paraId="76B3E55E">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2C70A6BE">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4102C43E">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1ECB6C2E">
            <w:pPr>
              <w:jc w:val="right"/>
              <w:rPr>
                <w:rFonts w:ascii="宋体" w:hAnsi="宋体" w:cs="宋体"/>
                <w:color w:val="000000"/>
                <w:sz w:val="24"/>
                <w:szCs w:val="24"/>
              </w:rPr>
            </w:pPr>
            <w:r>
              <w:rPr>
                <w:rFonts w:ascii="宋体" w:hAnsi="宋体" w:cs="宋体"/>
                <w:color w:val="000000"/>
                <w:sz w:val="24"/>
                <w:szCs w:val="24"/>
              </w:rPr>
              <w:t>0.00</w:t>
            </w:r>
          </w:p>
        </w:tc>
      </w:tr>
      <w:tr w14:paraId="0A763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4B230E8">
            <w:pPr>
              <w:widowControl/>
              <w:jc w:val="center"/>
              <w:rPr>
                <w:rFonts w:ascii="宋体" w:hAnsi="宋体" w:cs="宋体"/>
                <w:color w:val="000000"/>
                <w:sz w:val="24"/>
                <w:szCs w:val="24"/>
              </w:rPr>
            </w:pPr>
            <w:r>
              <w:rPr>
                <w:rFonts w:hint="eastAsia" w:ascii="宋体" w:hAnsi="宋体" w:cs="宋体"/>
                <w:color w:val="000000"/>
                <w:sz w:val="24"/>
                <w:szCs w:val="24"/>
              </w:rPr>
              <w:t>6</w:t>
            </w:r>
          </w:p>
        </w:tc>
        <w:tc>
          <w:tcPr>
            <w:tcW w:w="1447" w:type="dxa"/>
            <w:tcBorders>
              <w:top w:val="nil"/>
              <w:left w:val="nil"/>
              <w:bottom w:val="single" w:color="auto" w:sz="4" w:space="0"/>
              <w:right w:val="single" w:color="auto" w:sz="4" w:space="0"/>
            </w:tcBorders>
            <w:shd w:val="clear" w:color="auto" w:fill="auto"/>
            <w:vAlign w:val="center"/>
          </w:tcPr>
          <w:p w14:paraId="6FB990F6">
            <w:pPr>
              <w:widowControl/>
              <w:rPr>
                <w:rFonts w:ascii="宋体" w:hAnsi="宋体" w:cs="宋体"/>
                <w:color w:val="000000"/>
                <w:sz w:val="24"/>
                <w:szCs w:val="24"/>
              </w:rPr>
            </w:pPr>
            <w:r>
              <w:rPr>
                <w:rFonts w:hint="eastAsia" w:ascii="宋体" w:hAnsi="宋体" w:cs="宋体"/>
                <w:color w:val="000000"/>
                <w:sz w:val="24"/>
                <w:szCs w:val="24"/>
              </w:rPr>
              <w:t>货币市场工具</w:t>
            </w:r>
          </w:p>
        </w:tc>
        <w:tc>
          <w:tcPr>
            <w:tcW w:w="1697" w:type="dxa"/>
            <w:shd w:val="clear" w:color="auto" w:fill="auto"/>
            <w:vAlign w:val="center"/>
          </w:tcPr>
          <w:p w14:paraId="332C90C9">
            <w:pPr>
              <w:jc w:val="right"/>
              <w:rPr>
                <w:rFonts w:ascii="宋体" w:hAnsi="宋体" w:cs="宋体"/>
                <w:color w:val="000000"/>
                <w:sz w:val="24"/>
                <w:szCs w:val="24"/>
              </w:rPr>
            </w:pPr>
          </w:p>
        </w:tc>
        <w:tc>
          <w:tcPr>
            <w:tcW w:w="1749" w:type="dxa"/>
            <w:shd w:val="clear" w:color="auto" w:fill="auto"/>
            <w:vAlign w:val="center"/>
          </w:tcPr>
          <w:p w14:paraId="02DFF816">
            <w:pPr>
              <w:jc w:val="right"/>
              <w:rPr>
                <w:rFonts w:ascii="宋体" w:hAnsi="宋体" w:cs="宋体"/>
                <w:color w:val="000000"/>
                <w:sz w:val="24"/>
                <w:szCs w:val="24"/>
              </w:rPr>
            </w:pPr>
          </w:p>
        </w:tc>
        <w:tc>
          <w:tcPr>
            <w:tcW w:w="1653" w:type="dxa"/>
            <w:vAlign w:val="center"/>
          </w:tcPr>
          <w:p w14:paraId="162B4B84">
            <w:pPr>
              <w:jc w:val="right"/>
              <w:rPr>
                <w:rFonts w:ascii="宋体" w:hAnsi="宋体" w:cs="宋体"/>
                <w:color w:val="000000"/>
                <w:sz w:val="24"/>
                <w:szCs w:val="24"/>
              </w:rPr>
            </w:pPr>
          </w:p>
        </w:tc>
        <w:tc>
          <w:tcPr>
            <w:tcW w:w="1705" w:type="dxa"/>
            <w:vAlign w:val="center"/>
          </w:tcPr>
          <w:p w14:paraId="4EA37089">
            <w:pPr>
              <w:jc w:val="right"/>
              <w:rPr>
                <w:rFonts w:ascii="宋体" w:hAnsi="宋体" w:cs="宋体"/>
                <w:color w:val="000000"/>
                <w:sz w:val="24"/>
                <w:szCs w:val="24"/>
              </w:rPr>
            </w:pPr>
          </w:p>
        </w:tc>
      </w:tr>
      <w:tr w14:paraId="40010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F2609B8">
            <w:pPr>
              <w:widowControl/>
              <w:jc w:val="center"/>
              <w:rPr>
                <w:rFonts w:ascii="宋体" w:hAnsi="宋体" w:cs="宋体"/>
                <w:color w:val="000000"/>
                <w:sz w:val="24"/>
                <w:szCs w:val="24"/>
              </w:rPr>
            </w:pPr>
            <w:r>
              <w:rPr>
                <w:rFonts w:hint="eastAsia" w:ascii="宋体" w:hAnsi="宋体" w:cs="宋体"/>
                <w:color w:val="000000"/>
                <w:sz w:val="24"/>
                <w:szCs w:val="24"/>
              </w:rPr>
              <w:t>7</w:t>
            </w:r>
          </w:p>
        </w:tc>
        <w:tc>
          <w:tcPr>
            <w:tcW w:w="1447" w:type="dxa"/>
            <w:tcBorders>
              <w:top w:val="nil"/>
              <w:left w:val="nil"/>
              <w:bottom w:val="single" w:color="auto" w:sz="4" w:space="0"/>
              <w:right w:val="single" w:color="auto" w:sz="4" w:space="0"/>
            </w:tcBorders>
            <w:shd w:val="clear" w:color="auto" w:fill="auto"/>
            <w:vAlign w:val="center"/>
          </w:tcPr>
          <w:p w14:paraId="16E3274B">
            <w:pPr>
              <w:widowControl/>
              <w:rPr>
                <w:rFonts w:ascii="宋体" w:hAnsi="宋体" w:cs="宋体"/>
                <w:color w:val="000000"/>
                <w:sz w:val="24"/>
                <w:szCs w:val="24"/>
              </w:rPr>
            </w:pPr>
            <w:r>
              <w:rPr>
                <w:rFonts w:hint="eastAsia" w:ascii="宋体" w:hAnsi="宋体" w:cs="宋体"/>
                <w:color w:val="000000"/>
                <w:sz w:val="24"/>
                <w:szCs w:val="24"/>
              </w:rPr>
              <w:t>银行存款和结算备付金合计</w:t>
            </w:r>
          </w:p>
        </w:tc>
        <w:tc>
          <w:tcPr>
            <w:tcW w:w="1697" w:type="dxa"/>
            <w:shd w:val="clear" w:color="auto" w:fill="auto"/>
            <w:vAlign w:val="center"/>
          </w:tcPr>
          <w:p w14:paraId="656C9BA2">
            <w:pPr>
              <w:jc w:val="right"/>
              <w:rPr>
                <w:rFonts w:ascii="宋体" w:hAnsi="宋体" w:cs="宋体"/>
                <w:color w:val="000000"/>
                <w:sz w:val="24"/>
                <w:szCs w:val="24"/>
              </w:rPr>
            </w:pPr>
            <w:r>
              <w:rPr>
                <w:rFonts w:ascii="宋体" w:hAnsi="宋体" w:cs="宋体"/>
                <w:color w:val="000000"/>
                <w:sz w:val="24"/>
                <w:szCs w:val="24"/>
              </w:rPr>
              <w:t>4,582,410.55</w:t>
            </w:r>
          </w:p>
        </w:tc>
        <w:tc>
          <w:tcPr>
            <w:tcW w:w="1749" w:type="dxa"/>
            <w:shd w:val="clear" w:color="auto" w:fill="auto"/>
            <w:vAlign w:val="center"/>
          </w:tcPr>
          <w:p w14:paraId="37CABA51">
            <w:pPr>
              <w:jc w:val="right"/>
              <w:rPr>
                <w:rFonts w:ascii="宋体" w:hAnsi="宋体" w:cs="宋体"/>
                <w:color w:val="000000"/>
                <w:sz w:val="24"/>
                <w:szCs w:val="24"/>
              </w:rPr>
            </w:pPr>
            <w:r>
              <w:rPr>
                <w:rFonts w:ascii="宋体" w:hAnsi="宋体" w:cs="宋体"/>
                <w:color w:val="000000"/>
                <w:sz w:val="24"/>
                <w:szCs w:val="24"/>
              </w:rPr>
              <w:t>0.08</w:t>
            </w:r>
          </w:p>
        </w:tc>
        <w:tc>
          <w:tcPr>
            <w:tcW w:w="1653" w:type="dxa"/>
            <w:vAlign w:val="center"/>
          </w:tcPr>
          <w:p w14:paraId="2C5E55BF">
            <w:pPr>
              <w:jc w:val="right"/>
              <w:rPr>
                <w:rFonts w:ascii="宋体" w:hAnsi="宋体" w:cs="宋体"/>
                <w:color w:val="000000"/>
                <w:sz w:val="24"/>
                <w:szCs w:val="24"/>
              </w:rPr>
            </w:pPr>
            <w:r>
              <w:rPr>
                <w:rFonts w:ascii="宋体" w:hAnsi="宋体" w:cs="宋体"/>
                <w:color w:val="000000"/>
                <w:sz w:val="24"/>
                <w:szCs w:val="24"/>
              </w:rPr>
              <w:t>11,589,424.74</w:t>
            </w:r>
          </w:p>
        </w:tc>
        <w:tc>
          <w:tcPr>
            <w:tcW w:w="1705" w:type="dxa"/>
            <w:vAlign w:val="center"/>
          </w:tcPr>
          <w:p w14:paraId="6FB3492F">
            <w:pPr>
              <w:jc w:val="right"/>
              <w:rPr>
                <w:rFonts w:ascii="宋体" w:hAnsi="宋体" w:cs="宋体"/>
                <w:color w:val="000000"/>
                <w:sz w:val="24"/>
                <w:szCs w:val="24"/>
              </w:rPr>
            </w:pPr>
            <w:r>
              <w:rPr>
                <w:rFonts w:ascii="宋体" w:hAnsi="宋体" w:cs="宋体"/>
                <w:color w:val="000000"/>
                <w:sz w:val="24"/>
                <w:szCs w:val="24"/>
              </w:rPr>
              <w:t>0.21</w:t>
            </w:r>
          </w:p>
        </w:tc>
      </w:tr>
      <w:tr w14:paraId="4F1E0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7CA3007">
            <w:pPr>
              <w:widowControl/>
              <w:jc w:val="center"/>
              <w:rPr>
                <w:rFonts w:ascii="宋体" w:hAnsi="宋体" w:cs="宋体"/>
                <w:color w:val="000000"/>
                <w:sz w:val="24"/>
                <w:szCs w:val="24"/>
              </w:rPr>
            </w:pPr>
            <w:r>
              <w:rPr>
                <w:rFonts w:hint="eastAsia" w:ascii="宋体" w:hAnsi="宋体" w:cs="宋体"/>
                <w:color w:val="000000"/>
                <w:sz w:val="24"/>
                <w:szCs w:val="24"/>
              </w:rPr>
              <w:t>8</w:t>
            </w:r>
          </w:p>
        </w:tc>
        <w:tc>
          <w:tcPr>
            <w:tcW w:w="1447" w:type="dxa"/>
            <w:tcBorders>
              <w:top w:val="nil"/>
              <w:left w:val="nil"/>
              <w:bottom w:val="single" w:color="auto" w:sz="4" w:space="0"/>
              <w:right w:val="single" w:color="auto" w:sz="4" w:space="0"/>
            </w:tcBorders>
            <w:shd w:val="clear" w:color="auto" w:fill="auto"/>
            <w:vAlign w:val="center"/>
          </w:tcPr>
          <w:p w14:paraId="225FC76F">
            <w:pPr>
              <w:widowControl/>
              <w:rPr>
                <w:rFonts w:ascii="宋体" w:hAnsi="宋体" w:cs="宋体"/>
                <w:color w:val="000000"/>
                <w:sz w:val="24"/>
                <w:szCs w:val="24"/>
              </w:rPr>
            </w:pPr>
            <w:r>
              <w:rPr>
                <w:rFonts w:hint="eastAsia" w:ascii="宋体" w:hAnsi="宋体" w:cs="宋体"/>
                <w:color w:val="000000"/>
                <w:sz w:val="24"/>
                <w:szCs w:val="24"/>
              </w:rPr>
              <w:t>拆放同业</w:t>
            </w:r>
          </w:p>
        </w:tc>
        <w:tc>
          <w:tcPr>
            <w:tcW w:w="1697" w:type="dxa"/>
            <w:shd w:val="clear" w:color="auto" w:fill="auto"/>
            <w:vAlign w:val="center"/>
          </w:tcPr>
          <w:p w14:paraId="41EF1359">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25B505B1">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67DC8D5A">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49C1D6B9">
            <w:pPr>
              <w:jc w:val="right"/>
              <w:rPr>
                <w:rFonts w:ascii="宋体" w:hAnsi="宋体" w:cs="宋体"/>
                <w:color w:val="000000"/>
                <w:sz w:val="24"/>
                <w:szCs w:val="24"/>
              </w:rPr>
            </w:pPr>
            <w:r>
              <w:rPr>
                <w:rFonts w:ascii="宋体" w:hAnsi="宋体" w:cs="宋体"/>
                <w:color w:val="000000"/>
                <w:sz w:val="24"/>
                <w:szCs w:val="24"/>
              </w:rPr>
              <w:t>0.00</w:t>
            </w:r>
          </w:p>
        </w:tc>
      </w:tr>
      <w:tr w14:paraId="09DAC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9337815">
            <w:pPr>
              <w:widowControl/>
              <w:jc w:val="center"/>
              <w:rPr>
                <w:rFonts w:ascii="宋体" w:hAnsi="宋体" w:cs="宋体"/>
                <w:color w:val="000000"/>
                <w:sz w:val="24"/>
                <w:szCs w:val="24"/>
              </w:rPr>
            </w:pPr>
            <w:r>
              <w:rPr>
                <w:rFonts w:hint="eastAsia" w:ascii="宋体" w:hAnsi="宋体" w:cs="宋体"/>
                <w:color w:val="000000"/>
                <w:sz w:val="24"/>
                <w:szCs w:val="24"/>
              </w:rPr>
              <w:t>9</w:t>
            </w:r>
          </w:p>
        </w:tc>
        <w:tc>
          <w:tcPr>
            <w:tcW w:w="1447" w:type="dxa"/>
            <w:tcBorders>
              <w:top w:val="nil"/>
              <w:left w:val="nil"/>
              <w:bottom w:val="single" w:color="auto" w:sz="4" w:space="0"/>
              <w:right w:val="single" w:color="auto" w:sz="4" w:space="0"/>
            </w:tcBorders>
            <w:shd w:val="clear" w:color="auto" w:fill="auto"/>
            <w:vAlign w:val="center"/>
          </w:tcPr>
          <w:p w14:paraId="52F5061C">
            <w:pPr>
              <w:widowControl/>
              <w:rPr>
                <w:rFonts w:ascii="宋体" w:hAnsi="宋体" w:cs="宋体"/>
                <w:color w:val="000000"/>
                <w:sz w:val="24"/>
                <w:szCs w:val="24"/>
              </w:rPr>
            </w:pPr>
            <w:r>
              <w:rPr>
                <w:rFonts w:hint="eastAsia" w:ascii="宋体" w:hAnsi="宋体" w:cs="宋体"/>
                <w:color w:val="000000"/>
                <w:sz w:val="24"/>
                <w:szCs w:val="24"/>
              </w:rPr>
              <w:t>资管</w:t>
            </w:r>
            <w:r>
              <w:rPr>
                <w:rFonts w:ascii="宋体" w:hAnsi="宋体" w:cs="宋体"/>
                <w:color w:val="000000"/>
                <w:sz w:val="24"/>
                <w:szCs w:val="24"/>
              </w:rPr>
              <w:t>产品</w:t>
            </w:r>
          </w:p>
        </w:tc>
        <w:tc>
          <w:tcPr>
            <w:tcW w:w="1697" w:type="dxa"/>
            <w:shd w:val="clear" w:color="auto" w:fill="auto"/>
            <w:vAlign w:val="center"/>
          </w:tcPr>
          <w:p w14:paraId="73FB6377">
            <w:pPr>
              <w:jc w:val="right"/>
              <w:rPr>
                <w:rFonts w:ascii="宋体" w:hAnsi="宋体" w:cs="宋体"/>
                <w:color w:val="000000"/>
                <w:sz w:val="24"/>
                <w:szCs w:val="24"/>
              </w:rPr>
            </w:pPr>
            <w:r>
              <w:rPr>
                <w:rFonts w:ascii="宋体" w:hAnsi="宋体" w:cs="宋体"/>
                <w:color w:val="000000"/>
                <w:sz w:val="24"/>
                <w:szCs w:val="24"/>
              </w:rPr>
              <w:t>429,821,289.71</w:t>
            </w:r>
          </w:p>
        </w:tc>
        <w:tc>
          <w:tcPr>
            <w:tcW w:w="1749" w:type="dxa"/>
            <w:shd w:val="clear" w:color="auto" w:fill="auto"/>
            <w:vAlign w:val="center"/>
          </w:tcPr>
          <w:p w14:paraId="536F3015">
            <w:pPr>
              <w:jc w:val="right"/>
              <w:rPr>
                <w:rFonts w:ascii="宋体" w:hAnsi="宋体" w:cs="宋体"/>
                <w:color w:val="000000"/>
                <w:sz w:val="24"/>
                <w:szCs w:val="24"/>
              </w:rPr>
            </w:pPr>
            <w:r>
              <w:rPr>
                <w:rFonts w:ascii="宋体" w:hAnsi="宋体" w:cs="宋体"/>
                <w:color w:val="000000"/>
                <w:sz w:val="24"/>
                <w:szCs w:val="24"/>
              </w:rPr>
              <w:t>7.94</w:t>
            </w:r>
          </w:p>
        </w:tc>
        <w:tc>
          <w:tcPr>
            <w:tcW w:w="1653" w:type="dxa"/>
            <w:vAlign w:val="center"/>
          </w:tcPr>
          <w:p w14:paraId="2754BCC2">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7BE03F20">
            <w:pPr>
              <w:jc w:val="right"/>
              <w:rPr>
                <w:rFonts w:ascii="宋体" w:hAnsi="宋体" w:cs="宋体"/>
                <w:color w:val="000000"/>
                <w:sz w:val="24"/>
                <w:szCs w:val="24"/>
              </w:rPr>
            </w:pPr>
            <w:r>
              <w:rPr>
                <w:rFonts w:ascii="宋体" w:hAnsi="宋体" w:cs="宋体"/>
                <w:color w:val="000000"/>
                <w:sz w:val="24"/>
                <w:szCs w:val="24"/>
              </w:rPr>
              <w:t>0.00</w:t>
            </w:r>
          </w:p>
        </w:tc>
      </w:tr>
      <w:tr w14:paraId="14C38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B098A66">
            <w:pPr>
              <w:widowControl/>
              <w:jc w:val="center"/>
              <w:rPr>
                <w:rFonts w:ascii="宋体" w:hAnsi="宋体" w:cs="宋体"/>
                <w:color w:val="000000"/>
                <w:sz w:val="24"/>
                <w:szCs w:val="24"/>
              </w:rPr>
            </w:pPr>
            <w:r>
              <w:rPr>
                <w:rFonts w:ascii="宋体" w:hAnsi="宋体" w:cs="宋体"/>
                <w:color w:val="000000"/>
                <w:sz w:val="24"/>
                <w:szCs w:val="24"/>
              </w:rPr>
              <w:t>10</w:t>
            </w:r>
          </w:p>
        </w:tc>
        <w:tc>
          <w:tcPr>
            <w:tcW w:w="1447" w:type="dxa"/>
            <w:tcBorders>
              <w:top w:val="nil"/>
              <w:left w:val="nil"/>
              <w:bottom w:val="single" w:color="auto" w:sz="4" w:space="0"/>
              <w:right w:val="single" w:color="auto" w:sz="4" w:space="0"/>
            </w:tcBorders>
            <w:shd w:val="clear" w:color="auto" w:fill="auto"/>
            <w:vAlign w:val="center"/>
          </w:tcPr>
          <w:p w14:paraId="3B7E8740">
            <w:pPr>
              <w:widowControl/>
              <w:rPr>
                <w:rFonts w:ascii="宋体" w:hAnsi="宋体" w:cs="宋体"/>
                <w:color w:val="000000"/>
                <w:sz w:val="24"/>
                <w:szCs w:val="24"/>
              </w:rPr>
            </w:pPr>
            <w:r>
              <w:rPr>
                <w:rFonts w:hint="eastAsia" w:ascii="宋体" w:hAnsi="宋体" w:cs="宋体"/>
                <w:color w:val="000000"/>
                <w:sz w:val="24"/>
                <w:szCs w:val="24"/>
              </w:rPr>
              <w:t>其他资产</w:t>
            </w:r>
          </w:p>
        </w:tc>
        <w:tc>
          <w:tcPr>
            <w:tcW w:w="1697" w:type="dxa"/>
            <w:shd w:val="clear" w:color="auto" w:fill="auto"/>
            <w:vAlign w:val="center"/>
          </w:tcPr>
          <w:p w14:paraId="2C9644A3">
            <w:pPr>
              <w:jc w:val="right"/>
              <w:rPr>
                <w:rFonts w:ascii="宋体" w:hAnsi="宋体" w:cs="宋体"/>
                <w:color w:val="000000"/>
                <w:sz w:val="24"/>
                <w:szCs w:val="24"/>
              </w:rPr>
            </w:pPr>
            <w:r>
              <w:rPr>
                <w:rFonts w:ascii="宋体" w:hAnsi="宋体" w:cs="宋体"/>
                <w:color w:val="000000"/>
                <w:sz w:val="24"/>
                <w:szCs w:val="24"/>
              </w:rPr>
              <w:t>335,030.31</w:t>
            </w:r>
          </w:p>
        </w:tc>
        <w:tc>
          <w:tcPr>
            <w:tcW w:w="1749" w:type="dxa"/>
            <w:shd w:val="clear" w:color="auto" w:fill="auto"/>
            <w:vAlign w:val="center"/>
          </w:tcPr>
          <w:p w14:paraId="405E380B">
            <w:pPr>
              <w:jc w:val="right"/>
              <w:rPr>
                <w:rFonts w:ascii="宋体" w:hAnsi="宋体" w:cs="宋体"/>
                <w:color w:val="000000"/>
                <w:sz w:val="24"/>
                <w:szCs w:val="24"/>
              </w:rPr>
            </w:pPr>
            <w:r>
              <w:rPr>
                <w:rFonts w:ascii="宋体" w:hAnsi="宋体" w:cs="宋体"/>
                <w:color w:val="000000"/>
                <w:sz w:val="24"/>
                <w:szCs w:val="24"/>
              </w:rPr>
              <w:t>0.01</w:t>
            </w:r>
          </w:p>
        </w:tc>
        <w:tc>
          <w:tcPr>
            <w:tcW w:w="1653" w:type="dxa"/>
            <w:vAlign w:val="center"/>
          </w:tcPr>
          <w:p w14:paraId="2ADA5B74">
            <w:pPr>
              <w:jc w:val="right"/>
              <w:rPr>
                <w:rFonts w:ascii="宋体" w:hAnsi="宋体" w:cs="宋体"/>
                <w:color w:val="000000"/>
                <w:sz w:val="24"/>
                <w:szCs w:val="24"/>
              </w:rPr>
            </w:pPr>
            <w:r>
              <w:rPr>
                <w:rFonts w:ascii="宋体" w:hAnsi="宋体" w:cs="宋体"/>
                <w:color w:val="000000"/>
                <w:sz w:val="24"/>
                <w:szCs w:val="24"/>
              </w:rPr>
              <w:t>3,694,062.64</w:t>
            </w:r>
          </w:p>
        </w:tc>
        <w:tc>
          <w:tcPr>
            <w:tcW w:w="1705" w:type="dxa"/>
            <w:vAlign w:val="center"/>
          </w:tcPr>
          <w:p w14:paraId="70AAC3D7">
            <w:pPr>
              <w:jc w:val="right"/>
              <w:rPr>
                <w:rFonts w:ascii="宋体" w:hAnsi="宋体" w:cs="宋体"/>
                <w:color w:val="000000"/>
                <w:sz w:val="24"/>
                <w:szCs w:val="24"/>
              </w:rPr>
            </w:pPr>
            <w:r>
              <w:rPr>
                <w:rFonts w:ascii="宋体" w:hAnsi="宋体" w:cs="宋体"/>
                <w:color w:val="000000"/>
                <w:sz w:val="24"/>
                <w:szCs w:val="24"/>
              </w:rPr>
              <w:t>0.07</w:t>
            </w:r>
          </w:p>
        </w:tc>
      </w:tr>
      <w:tr w14:paraId="1E90C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28DC2D86">
            <w:pPr>
              <w:jc w:val="left"/>
              <w:rPr>
                <w:rFonts w:ascii="宋体" w:hAnsi="宋体" w:cs="宋体"/>
                <w:color w:val="000000"/>
                <w:sz w:val="24"/>
                <w:szCs w:val="24"/>
              </w:rPr>
            </w:pPr>
          </w:p>
        </w:tc>
        <w:tc>
          <w:tcPr>
            <w:tcW w:w="1447" w:type="dxa"/>
            <w:shd w:val="clear" w:color="auto" w:fill="auto"/>
          </w:tcPr>
          <w:p w14:paraId="5E448081">
            <w:pPr>
              <w:jc w:val="left"/>
              <w:rPr>
                <w:rFonts w:ascii="宋体" w:hAnsi="宋体" w:cs="宋体"/>
                <w:color w:val="000000"/>
                <w:sz w:val="24"/>
                <w:szCs w:val="24"/>
              </w:rPr>
            </w:pPr>
            <w:r>
              <w:rPr>
                <w:rFonts w:hint="eastAsia" w:ascii="宋体" w:hAnsi="宋体" w:cs="宋体"/>
                <w:color w:val="000000"/>
                <w:sz w:val="24"/>
                <w:szCs w:val="24"/>
              </w:rPr>
              <w:t>合计</w:t>
            </w:r>
          </w:p>
        </w:tc>
        <w:tc>
          <w:tcPr>
            <w:tcW w:w="1697" w:type="dxa"/>
            <w:shd w:val="clear" w:color="auto" w:fill="auto"/>
          </w:tcPr>
          <w:p w14:paraId="5F8AAD5C">
            <w:pPr>
              <w:jc w:val="right"/>
              <w:rPr>
                <w:rFonts w:ascii="宋体" w:hAnsi="宋体" w:cs="宋体"/>
                <w:color w:val="000000"/>
                <w:sz w:val="24"/>
                <w:szCs w:val="24"/>
              </w:rPr>
            </w:pPr>
            <w:r>
              <w:rPr>
                <w:rFonts w:ascii="宋体" w:hAnsi="宋体" w:cs="宋体"/>
                <w:color w:val="000000"/>
                <w:sz w:val="24"/>
                <w:szCs w:val="24"/>
              </w:rPr>
              <w:t>5,412,740,469.93</w:t>
            </w:r>
          </w:p>
        </w:tc>
        <w:tc>
          <w:tcPr>
            <w:tcW w:w="1749" w:type="dxa"/>
            <w:shd w:val="clear" w:color="auto" w:fill="auto"/>
          </w:tcPr>
          <w:p w14:paraId="1F2BF593">
            <w:pPr>
              <w:jc w:val="right"/>
              <w:rPr>
                <w:rFonts w:ascii="宋体" w:hAnsi="宋体" w:cs="宋体"/>
                <w:color w:val="000000"/>
                <w:sz w:val="24"/>
                <w:szCs w:val="24"/>
              </w:rPr>
            </w:pPr>
            <w:r>
              <w:rPr>
                <w:rFonts w:ascii="宋体" w:hAnsi="宋体" w:cs="宋体"/>
                <w:color w:val="000000"/>
                <w:sz w:val="24"/>
                <w:szCs w:val="24"/>
              </w:rPr>
              <w:t>100.00</w:t>
            </w:r>
          </w:p>
        </w:tc>
        <w:tc>
          <w:tcPr>
            <w:tcW w:w="1653" w:type="dxa"/>
          </w:tcPr>
          <w:p w14:paraId="4E5BE4E5">
            <w:pPr>
              <w:jc w:val="right"/>
              <w:rPr>
                <w:rFonts w:ascii="宋体" w:hAnsi="宋体" w:cs="宋体"/>
                <w:color w:val="000000"/>
                <w:sz w:val="24"/>
                <w:szCs w:val="24"/>
              </w:rPr>
            </w:pPr>
            <w:r>
              <w:rPr>
                <w:rFonts w:ascii="宋体" w:hAnsi="宋体" w:cs="宋体"/>
                <w:color w:val="000000"/>
                <w:sz w:val="24"/>
                <w:szCs w:val="24"/>
              </w:rPr>
              <w:t>475,711,541.92</w:t>
            </w:r>
          </w:p>
        </w:tc>
        <w:tc>
          <w:tcPr>
            <w:tcW w:w="1705" w:type="dxa"/>
          </w:tcPr>
          <w:p w14:paraId="4B0C63F9">
            <w:pPr>
              <w:jc w:val="right"/>
              <w:rPr>
                <w:rFonts w:ascii="宋体" w:hAnsi="宋体" w:cs="宋体"/>
                <w:color w:val="000000"/>
                <w:sz w:val="24"/>
                <w:szCs w:val="24"/>
              </w:rPr>
            </w:pPr>
            <w:r>
              <w:rPr>
                <w:rFonts w:ascii="宋体" w:hAnsi="宋体" w:cs="宋体"/>
                <w:color w:val="000000"/>
                <w:sz w:val="24"/>
                <w:szCs w:val="24"/>
              </w:rPr>
              <w:t>8.79</w:t>
            </w:r>
          </w:p>
        </w:tc>
      </w:tr>
    </w:tbl>
    <w:p w14:paraId="1111C558">
      <w:pPr>
        <w:ind w:left="420" w:leftChars="200"/>
        <w:jc w:val="left"/>
        <w:rPr>
          <w:rFonts w:ascii="宋体" w:hAnsi="宋体"/>
          <w:sz w:val="24"/>
        </w:rPr>
      </w:pPr>
    </w:p>
    <w:p w14:paraId="2D3FCD87">
      <w:pPr>
        <w:spacing w:line="360" w:lineRule="auto"/>
        <w:ind w:right="-107" w:rightChars="-51" w:firstLine="420"/>
        <w:jc w:val="left"/>
        <w:rPr>
          <w:rFonts w:ascii="宋体" w:hAnsi="宋体" w:cs="宋体"/>
          <w:color w:val="000000"/>
          <w:sz w:val="24"/>
          <w:szCs w:val="24"/>
        </w:rPr>
      </w:pPr>
      <w:r>
        <w:rPr>
          <w:rFonts w:ascii="宋体" w:hAnsi="宋体" w:cs="宋体"/>
          <w:color w:val="000000"/>
          <w:sz w:val="24"/>
          <w:szCs w:val="24"/>
        </w:rPr>
        <w:t>注1：间接投资占产品总资产的比例（%）为占本产品总资产的比例（%）。</w:t>
      </w:r>
    </w:p>
    <w:p w14:paraId="4ADDB79C">
      <w:pPr>
        <w:ind w:left="420" w:leftChars="200"/>
        <w:jc w:val="left"/>
        <w:rPr>
          <w:rFonts w:asciiTheme="minorEastAsia" w:hAnsiTheme="minorEastAsia" w:eastAsiaTheme="minorEastAsia"/>
          <w:szCs w:val="21"/>
        </w:rPr>
      </w:pPr>
    </w:p>
    <w:p w14:paraId="562181B1">
      <w:pPr>
        <w:jc w:val="left"/>
        <w:rPr>
          <w:rFonts w:ascii="宋体" w:hAnsi="宋体" w:cs="宋体"/>
          <w:color w:val="000000"/>
          <w:sz w:val="24"/>
          <w:szCs w:val="24"/>
        </w:rPr>
      </w:pPr>
      <w:r>
        <w:rPr>
          <w:rFonts w:hint="eastAsia" w:ascii="宋体" w:hAnsi="宋体" w:cs="宋体"/>
          <w:color w:val="000000"/>
          <w:sz w:val="24"/>
          <w:szCs w:val="24"/>
        </w:rPr>
        <w:t>4.3 报告期末投资前十名资产明细</w:t>
      </w:r>
    </w:p>
    <w:p w14:paraId="1ABA017E">
      <w:pPr>
        <w:jc w:val="right"/>
        <w:rPr>
          <w:rFonts w:ascii="宋体" w:hAnsi="宋体" w:cs="宋体"/>
          <w:color w:val="000000"/>
          <w:sz w:val="24"/>
          <w:szCs w:val="24"/>
        </w:rPr>
      </w:pPr>
      <w:r>
        <w:rPr>
          <w:rFonts w:hint="eastAsia" w:ascii="宋体" w:hAnsi="宋体" w:cs="宋体"/>
          <w:color w:val="000000"/>
          <w:sz w:val="24"/>
          <w:szCs w:val="24"/>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4B87F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075FE171">
            <w:pPr>
              <w:jc w:val="center"/>
              <w:rPr>
                <w:rFonts w:ascii="宋体" w:hAnsi="宋体"/>
                <w:b/>
                <w:sz w:val="24"/>
                <w:szCs w:val="24"/>
              </w:rPr>
            </w:pPr>
            <w:r>
              <w:rPr>
                <w:rFonts w:hint="eastAsia" w:ascii="宋体" w:hAnsi="宋体"/>
                <w:b/>
                <w:sz w:val="24"/>
                <w:szCs w:val="24"/>
              </w:rPr>
              <w:t>序号</w:t>
            </w:r>
          </w:p>
        </w:tc>
        <w:tc>
          <w:tcPr>
            <w:tcW w:w="3159" w:type="dxa"/>
            <w:shd w:val="clear" w:color="auto" w:fill="D9D9D9"/>
            <w:vAlign w:val="center"/>
          </w:tcPr>
          <w:p w14:paraId="434DEAEF">
            <w:pPr>
              <w:jc w:val="left"/>
              <w:rPr>
                <w:rFonts w:ascii="宋体" w:hAnsi="宋体"/>
                <w:b/>
                <w:sz w:val="24"/>
                <w:szCs w:val="24"/>
              </w:rPr>
            </w:pPr>
            <w:r>
              <w:rPr>
                <w:rFonts w:hint="eastAsia" w:ascii="宋体" w:hAnsi="宋体"/>
                <w:b/>
                <w:sz w:val="24"/>
                <w:szCs w:val="24"/>
              </w:rPr>
              <w:t>资产名称</w:t>
            </w:r>
          </w:p>
        </w:tc>
        <w:tc>
          <w:tcPr>
            <w:tcW w:w="2693" w:type="dxa"/>
            <w:shd w:val="clear" w:color="auto" w:fill="D9D9D9"/>
            <w:vAlign w:val="center"/>
          </w:tcPr>
          <w:p w14:paraId="17EF8294">
            <w:pPr>
              <w:jc w:val="left"/>
              <w:rPr>
                <w:rFonts w:ascii="宋体" w:hAnsi="宋体"/>
                <w:b/>
                <w:sz w:val="24"/>
                <w:szCs w:val="24"/>
              </w:rPr>
            </w:pPr>
            <w:r>
              <w:rPr>
                <w:rFonts w:hint="eastAsia" w:ascii="宋体" w:hAnsi="宋体"/>
                <w:b/>
                <w:sz w:val="24"/>
                <w:szCs w:val="24"/>
              </w:rPr>
              <w:t>金额</w:t>
            </w:r>
          </w:p>
        </w:tc>
        <w:tc>
          <w:tcPr>
            <w:tcW w:w="2431" w:type="dxa"/>
            <w:shd w:val="clear" w:color="auto" w:fill="D9D9D9"/>
            <w:vAlign w:val="center"/>
          </w:tcPr>
          <w:p w14:paraId="13435DD6">
            <w:pPr>
              <w:jc w:val="left"/>
              <w:rPr>
                <w:rFonts w:ascii="宋体" w:hAnsi="宋体"/>
                <w:b/>
                <w:sz w:val="24"/>
                <w:szCs w:val="24"/>
              </w:rPr>
            </w:pPr>
            <w:r>
              <w:rPr>
                <w:rFonts w:hint="eastAsia" w:ascii="宋体" w:hAnsi="宋体"/>
                <w:b/>
                <w:sz w:val="24"/>
                <w:szCs w:val="24"/>
              </w:rPr>
              <w:t>占产品资产净值比例（%）</w:t>
            </w:r>
          </w:p>
        </w:tc>
      </w:tr>
      <w:tr w14:paraId="51954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16C57A06">
            <w:pPr>
              <w:jc w:val="center"/>
              <w:rPr>
                <w:rFonts w:ascii="宋体" w:hAnsi="宋体" w:cs="宋体"/>
                <w:color w:val="000000"/>
                <w:sz w:val="24"/>
                <w:szCs w:val="24"/>
              </w:rPr>
            </w:pPr>
            <w:r>
              <w:rPr>
                <w:rFonts w:hint="eastAsia" w:ascii="宋体" w:hAnsi="宋体" w:cs="宋体"/>
                <w:color w:val="000000"/>
                <w:sz w:val="24"/>
                <w:szCs w:val="24"/>
              </w:rPr>
              <w:t>1</w:t>
            </w:r>
          </w:p>
        </w:tc>
        <w:tc>
          <w:tcPr>
            <w:tcW w:w="3159" w:type="dxa"/>
            <w:shd w:val="clear" w:color="auto" w:fill="auto"/>
            <w:vAlign w:val="center"/>
          </w:tcPr>
          <w:p w14:paraId="086F47B5">
            <w:pPr>
              <w:rPr>
                <w:rFonts w:ascii="宋体" w:hAnsi="宋体" w:cs="宋体"/>
                <w:color w:val="000000"/>
                <w:sz w:val="24"/>
                <w:szCs w:val="24"/>
              </w:rPr>
            </w:pPr>
            <w:r>
              <w:rPr>
                <w:rFonts w:ascii="宋体" w:hAnsi="宋体" w:cs="宋体"/>
                <w:color w:val="000000"/>
                <w:sz w:val="24"/>
                <w:szCs w:val="24"/>
              </w:rPr>
              <w:t>R014</w:t>
            </w:r>
          </w:p>
        </w:tc>
        <w:tc>
          <w:tcPr>
            <w:tcW w:w="2693" w:type="dxa"/>
            <w:shd w:val="clear" w:color="auto" w:fill="auto"/>
            <w:vAlign w:val="center"/>
          </w:tcPr>
          <w:p w14:paraId="795BCA01">
            <w:pPr>
              <w:jc w:val="right"/>
              <w:rPr>
                <w:rFonts w:ascii="宋体" w:hAnsi="宋体" w:cs="宋体"/>
                <w:color w:val="000000"/>
                <w:sz w:val="24"/>
                <w:szCs w:val="24"/>
              </w:rPr>
            </w:pPr>
            <w:r>
              <w:rPr>
                <w:rFonts w:ascii="宋体" w:hAnsi="宋体" w:cs="宋体"/>
                <w:color w:val="000000"/>
                <w:sz w:val="24"/>
                <w:szCs w:val="24"/>
              </w:rPr>
              <w:t>698,740,428.67</w:t>
            </w:r>
          </w:p>
        </w:tc>
        <w:tc>
          <w:tcPr>
            <w:tcW w:w="2431" w:type="dxa"/>
            <w:shd w:val="clear" w:color="auto" w:fill="auto"/>
            <w:vAlign w:val="center"/>
          </w:tcPr>
          <w:p w14:paraId="3F1D7F6F">
            <w:pPr>
              <w:jc w:val="right"/>
              <w:rPr>
                <w:rFonts w:ascii="宋体" w:hAnsi="宋体" w:cs="宋体"/>
                <w:color w:val="000000"/>
                <w:sz w:val="24"/>
                <w:szCs w:val="24"/>
              </w:rPr>
            </w:pPr>
            <w:bookmarkStart w:id="0" w:name="OLE_LINK5"/>
            <w:bookmarkStart w:id="1" w:name="OLE_LINK6"/>
            <w:r>
              <w:rPr>
                <w:rFonts w:ascii="宋体" w:hAnsi="宋体" w:cs="宋体"/>
                <w:color w:val="000000"/>
                <w:sz w:val="24"/>
                <w:szCs w:val="24"/>
              </w:rPr>
              <w:t>12.94</w:t>
            </w:r>
            <w:bookmarkEnd w:id="0"/>
            <w:bookmarkEnd w:id="1"/>
          </w:p>
        </w:tc>
      </w:tr>
      <w:tr w14:paraId="2AA15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349945D">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2</w:t>
            </w:r>
          </w:p>
        </w:tc>
        <w:tc>
          <w:tcPr>
            <w:tcW w:w="3159" w:type="dxa"/>
            <w:shd w:val="clear" w:color="auto" w:fill="auto"/>
            <w:vAlign w:val="center"/>
          </w:tcPr>
          <w:p w14:paraId="49FFD5B5">
            <w:pPr>
              <w:ind w:hanging="1"/>
              <w:jc w:val="left"/>
              <w:rPr>
                <w:rFonts w:ascii="宋体" w:hAnsi="宋体" w:cs="宋体"/>
                <w:color w:val="000000"/>
                <w:sz w:val="24"/>
                <w:szCs w:val="24"/>
              </w:rPr>
            </w:pPr>
            <w:r>
              <w:rPr>
                <w:rFonts w:ascii="宋体" w:hAnsi="宋体" w:cs="宋体"/>
                <w:b w:val="0"/>
                <w:i w:val="0"/>
                <w:strike w:val="0"/>
                <w:color w:val="000000"/>
                <w:sz w:val="24"/>
                <w:u w:val="none"/>
              </w:rPr>
              <w:t>创金合信恒利75号集合资产管理计划</w:t>
            </w:r>
          </w:p>
        </w:tc>
        <w:tc>
          <w:tcPr>
            <w:tcW w:w="2693" w:type="dxa"/>
            <w:shd w:val="clear" w:color="auto" w:fill="auto"/>
            <w:vAlign w:val="center"/>
          </w:tcPr>
          <w:p w14:paraId="6CB8E185">
            <w:pPr>
              <w:ind w:hanging="1"/>
              <w:jc w:val="right"/>
              <w:rPr>
                <w:rFonts w:ascii="宋体" w:hAnsi="宋体" w:cs="宋体"/>
                <w:color w:val="000000"/>
                <w:sz w:val="24"/>
                <w:szCs w:val="24"/>
              </w:rPr>
            </w:pPr>
            <w:r>
              <w:rPr>
                <w:rFonts w:ascii="宋体" w:hAnsi="宋体" w:cs="宋体"/>
                <w:b w:val="0"/>
                <w:i w:val="0"/>
                <w:strike w:val="0"/>
                <w:color w:val="000000"/>
                <w:sz w:val="24"/>
                <w:u w:val="none"/>
              </w:rPr>
              <w:t>429,821,289.71</w:t>
            </w:r>
          </w:p>
        </w:tc>
        <w:tc>
          <w:tcPr>
            <w:tcW w:w="2431" w:type="dxa"/>
            <w:shd w:val="clear" w:color="auto" w:fill="auto"/>
            <w:vAlign w:val="center"/>
          </w:tcPr>
          <w:p w14:paraId="0BAAD680">
            <w:pPr>
              <w:ind w:hanging="1"/>
              <w:jc w:val="right"/>
              <w:rPr>
                <w:rFonts w:ascii="宋体" w:hAnsi="宋体" w:cs="宋体"/>
                <w:color w:val="000000"/>
                <w:sz w:val="24"/>
                <w:szCs w:val="24"/>
              </w:rPr>
            </w:pPr>
            <w:r>
              <w:rPr>
                <w:rFonts w:ascii="宋体" w:hAnsi="宋体" w:cs="宋体"/>
                <w:b w:val="0"/>
                <w:i w:val="0"/>
                <w:strike w:val="0"/>
                <w:color w:val="000000"/>
                <w:sz w:val="24"/>
                <w:u w:val="none"/>
              </w:rPr>
              <w:t>7.96</w:t>
            </w:r>
          </w:p>
        </w:tc>
      </w:tr>
      <w:tr w14:paraId="160C6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F0291A8">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3</w:t>
            </w:r>
          </w:p>
        </w:tc>
        <w:tc>
          <w:tcPr>
            <w:tcW w:w="3159" w:type="dxa"/>
            <w:shd w:val="clear" w:color="auto" w:fill="auto"/>
            <w:vAlign w:val="center"/>
          </w:tcPr>
          <w:p w14:paraId="2BF1C15E">
            <w:pPr>
              <w:ind w:hanging="1"/>
              <w:jc w:val="left"/>
              <w:rPr>
                <w:rFonts w:ascii="宋体" w:hAnsi="宋体" w:cs="宋体"/>
                <w:color w:val="000000"/>
                <w:sz w:val="24"/>
                <w:szCs w:val="24"/>
              </w:rPr>
            </w:pPr>
            <w:r>
              <w:rPr>
                <w:rFonts w:ascii="宋体" w:hAnsi="宋体" w:cs="宋体"/>
                <w:b w:val="0"/>
                <w:i w:val="0"/>
                <w:strike w:val="0"/>
                <w:color w:val="000000"/>
                <w:sz w:val="24"/>
                <w:u w:val="none"/>
              </w:rPr>
              <w:t>R007</w:t>
            </w:r>
          </w:p>
        </w:tc>
        <w:tc>
          <w:tcPr>
            <w:tcW w:w="2693" w:type="dxa"/>
            <w:shd w:val="clear" w:color="auto" w:fill="auto"/>
            <w:vAlign w:val="center"/>
          </w:tcPr>
          <w:p w14:paraId="1CE51BE5">
            <w:pPr>
              <w:ind w:hanging="1"/>
              <w:jc w:val="right"/>
              <w:rPr>
                <w:rFonts w:ascii="宋体" w:hAnsi="宋体" w:cs="宋体"/>
                <w:color w:val="000000"/>
                <w:sz w:val="24"/>
                <w:szCs w:val="24"/>
              </w:rPr>
            </w:pPr>
            <w:r>
              <w:rPr>
                <w:rFonts w:ascii="宋体" w:hAnsi="宋体" w:cs="宋体"/>
                <w:b w:val="0"/>
                <w:i w:val="0"/>
                <w:strike w:val="0"/>
                <w:color w:val="000000"/>
                <w:sz w:val="24"/>
                <w:u w:val="none"/>
              </w:rPr>
              <w:t>252,034,636.73</w:t>
            </w:r>
          </w:p>
        </w:tc>
        <w:tc>
          <w:tcPr>
            <w:tcW w:w="2431" w:type="dxa"/>
            <w:shd w:val="clear" w:color="auto" w:fill="auto"/>
            <w:vAlign w:val="center"/>
          </w:tcPr>
          <w:p w14:paraId="6AF08ECA">
            <w:pPr>
              <w:ind w:hanging="1"/>
              <w:jc w:val="right"/>
              <w:rPr>
                <w:rFonts w:ascii="宋体" w:hAnsi="宋体" w:cs="宋体"/>
                <w:color w:val="000000"/>
                <w:sz w:val="24"/>
                <w:szCs w:val="24"/>
              </w:rPr>
            </w:pPr>
            <w:r>
              <w:rPr>
                <w:rFonts w:ascii="宋体" w:hAnsi="宋体" w:cs="宋体"/>
                <w:b w:val="0"/>
                <w:i w:val="0"/>
                <w:strike w:val="0"/>
                <w:color w:val="000000"/>
                <w:sz w:val="24"/>
                <w:u w:val="none"/>
              </w:rPr>
              <w:t>4.67</w:t>
            </w:r>
          </w:p>
        </w:tc>
      </w:tr>
      <w:tr w14:paraId="4D4B2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B262A3A">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4</w:t>
            </w:r>
          </w:p>
        </w:tc>
        <w:tc>
          <w:tcPr>
            <w:tcW w:w="3159" w:type="dxa"/>
            <w:shd w:val="clear" w:color="auto" w:fill="auto"/>
            <w:vAlign w:val="center"/>
          </w:tcPr>
          <w:p w14:paraId="32C0AB16">
            <w:pPr>
              <w:ind w:hanging="1"/>
              <w:jc w:val="left"/>
              <w:rPr>
                <w:rFonts w:ascii="宋体" w:hAnsi="宋体" w:cs="宋体"/>
                <w:color w:val="000000"/>
                <w:sz w:val="24"/>
                <w:szCs w:val="24"/>
              </w:rPr>
            </w:pPr>
            <w:r>
              <w:rPr>
                <w:rFonts w:ascii="宋体" w:hAnsi="宋体" w:cs="宋体"/>
                <w:b w:val="0"/>
                <w:i w:val="0"/>
                <w:strike w:val="0"/>
                <w:color w:val="000000"/>
                <w:sz w:val="24"/>
                <w:u w:val="none"/>
              </w:rPr>
              <w:t>26农发01</w:t>
            </w:r>
          </w:p>
        </w:tc>
        <w:tc>
          <w:tcPr>
            <w:tcW w:w="2693" w:type="dxa"/>
            <w:shd w:val="clear" w:color="auto" w:fill="auto"/>
            <w:vAlign w:val="center"/>
          </w:tcPr>
          <w:p w14:paraId="65C5CC66">
            <w:pPr>
              <w:ind w:hanging="1"/>
              <w:jc w:val="right"/>
              <w:rPr>
                <w:rFonts w:ascii="宋体" w:hAnsi="宋体" w:cs="宋体"/>
                <w:color w:val="000000"/>
                <w:sz w:val="24"/>
                <w:szCs w:val="24"/>
              </w:rPr>
            </w:pPr>
            <w:r>
              <w:rPr>
                <w:rFonts w:ascii="宋体" w:hAnsi="宋体" w:cs="宋体"/>
                <w:b w:val="0"/>
                <w:i w:val="0"/>
                <w:strike w:val="0"/>
                <w:color w:val="000000"/>
                <w:sz w:val="24"/>
                <w:u w:val="none"/>
              </w:rPr>
              <w:t>141,148,262.74</w:t>
            </w:r>
          </w:p>
        </w:tc>
        <w:tc>
          <w:tcPr>
            <w:tcW w:w="2431" w:type="dxa"/>
            <w:shd w:val="clear" w:color="auto" w:fill="auto"/>
            <w:vAlign w:val="center"/>
          </w:tcPr>
          <w:p w14:paraId="50981AFB">
            <w:pPr>
              <w:ind w:hanging="1"/>
              <w:jc w:val="right"/>
              <w:rPr>
                <w:rFonts w:ascii="宋体" w:hAnsi="宋体" w:cs="宋体"/>
                <w:color w:val="000000"/>
                <w:sz w:val="24"/>
                <w:szCs w:val="24"/>
              </w:rPr>
            </w:pPr>
            <w:r>
              <w:rPr>
                <w:rFonts w:ascii="宋体" w:hAnsi="宋体" w:cs="宋体"/>
                <w:b w:val="0"/>
                <w:i w:val="0"/>
                <w:strike w:val="0"/>
                <w:color w:val="000000"/>
                <w:sz w:val="24"/>
                <w:u w:val="none"/>
              </w:rPr>
              <w:t>2.61</w:t>
            </w:r>
          </w:p>
        </w:tc>
      </w:tr>
      <w:tr w14:paraId="0A6A4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746ECC6">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5</w:t>
            </w:r>
          </w:p>
        </w:tc>
        <w:tc>
          <w:tcPr>
            <w:tcW w:w="3159" w:type="dxa"/>
            <w:shd w:val="clear" w:color="auto" w:fill="auto"/>
            <w:vAlign w:val="center"/>
          </w:tcPr>
          <w:p w14:paraId="1B3744A6">
            <w:pPr>
              <w:ind w:hanging="1"/>
              <w:jc w:val="left"/>
              <w:rPr>
                <w:rFonts w:ascii="宋体" w:hAnsi="宋体" w:cs="宋体"/>
                <w:color w:val="000000"/>
                <w:sz w:val="24"/>
                <w:szCs w:val="24"/>
              </w:rPr>
            </w:pPr>
            <w:r>
              <w:rPr>
                <w:rFonts w:ascii="宋体" w:hAnsi="宋体" w:cs="宋体"/>
                <w:b w:val="0"/>
                <w:i w:val="0"/>
                <w:strike w:val="0"/>
                <w:color w:val="000000"/>
                <w:sz w:val="24"/>
                <w:u w:val="none"/>
              </w:rPr>
              <w:t>25农业银行CD406</w:t>
            </w:r>
          </w:p>
        </w:tc>
        <w:tc>
          <w:tcPr>
            <w:tcW w:w="2693" w:type="dxa"/>
            <w:shd w:val="clear" w:color="auto" w:fill="auto"/>
            <w:vAlign w:val="center"/>
          </w:tcPr>
          <w:p w14:paraId="212837F3">
            <w:pPr>
              <w:ind w:hanging="1"/>
              <w:jc w:val="right"/>
              <w:rPr>
                <w:rFonts w:ascii="宋体" w:hAnsi="宋体" w:cs="宋体"/>
                <w:color w:val="000000"/>
                <w:sz w:val="24"/>
                <w:szCs w:val="24"/>
              </w:rPr>
            </w:pPr>
            <w:r>
              <w:rPr>
                <w:rFonts w:ascii="宋体" w:hAnsi="宋体" w:cs="宋体"/>
                <w:b w:val="0"/>
                <w:i w:val="0"/>
                <w:strike w:val="0"/>
                <w:color w:val="000000"/>
                <w:sz w:val="24"/>
                <w:u w:val="none"/>
              </w:rPr>
              <w:t>99,787,828.21</w:t>
            </w:r>
          </w:p>
        </w:tc>
        <w:tc>
          <w:tcPr>
            <w:tcW w:w="2431" w:type="dxa"/>
            <w:shd w:val="clear" w:color="auto" w:fill="auto"/>
            <w:vAlign w:val="center"/>
          </w:tcPr>
          <w:p w14:paraId="7772B4F8">
            <w:pPr>
              <w:ind w:hanging="1"/>
              <w:jc w:val="right"/>
              <w:rPr>
                <w:rFonts w:ascii="宋体" w:hAnsi="宋体" w:cs="宋体"/>
                <w:color w:val="000000"/>
                <w:sz w:val="24"/>
                <w:szCs w:val="24"/>
              </w:rPr>
            </w:pPr>
            <w:r>
              <w:rPr>
                <w:rFonts w:ascii="宋体" w:hAnsi="宋体" w:cs="宋体"/>
                <w:b w:val="0"/>
                <w:i w:val="0"/>
                <w:strike w:val="0"/>
                <w:color w:val="000000"/>
                <w:sz w:val="24"/>
                <w:u w:val="none"/>
              </w:rPr>
              <w:t>1.85</w:t>
            </w:r>
          </w:p>
        </w:tc>
      </w:tr>
      <w:tr w14:paraId="63009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C64709F">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6</w:t>
            </w:r>
          </w:p>
        </w:tc>
        <w:tc>
          <w:tcPr>
            <w:tcW w:w="3159" w:type="dxa"/>
            <w:shd w:val="clear" w:color="auto" w:fill="auto"/>
            <w:vAlign w:val="center"/>
          </w:tcPr>
          <w:p w14:paraId="4AE86B63">
            <w:pPr>
              <w:ind w:hanging="1"/>
              <w:jc w:val="left"/>
              <w:rPr>
                <w:rFonts w:ascii="宋体" w:hAnsi="宋体" w:cs="宋体"/>
                <w:color w:val="000000"/>
                <w:sz w:val="24"/>
                <w:szCs w:val="24"/>
              </w:rPr>
            </w:pPr>
            <w:r>
              <w:rPr>
                <w:rFonts w:ascii="宋体" w:hAnsi="宋体" w:cs="宋体"/>
                <w:b w:val="0"/>
                <w:i w:val="0"/>
                <w:strike w:val="0"/>
                <w:color w:val="000000"/>
                <w:sz w:val="24"/>
                <w:u w:val="none"/>
              </w:rPr>
              <w:t>25农业银行CD326</w:t>
            </w:r>
          </w:p>
        </w:tc>
        <w:tc>
          <w:tcPr>
            <w:tcW w:w="2693" w:type="dxa"/>
            <w:shd w:val="clear" w:color="auto" w:fill="auto"/>
            <w:vAlign w:val="center"/>
          </w:tcPr>
          <w:p w14:paraId="27AF839A">
            <w:pPr>
              <w:ind w:hanging="1"/>
              <w:jc w:val="right"/>
              <w:rPr>
                <w:rFonts w:ascii="宋体" w:hAnsi="宋体" w:cs="宋体"/>
                <w:color w:val="000000"/>
                <w:sz w:val="24"/>
                <w:szCs w:val="24"/>
              </w:rPr>
            </w:pPr>
            <w:r>
              <w:rPr>
                <w:rFonts w:ascii="宋体" w:hAnsi="宋体" w:cs="宋体"/>
                <w:b w:val="0"/>
                <w:i w:val="0"/>
                <w:strike w:val="0"/>
                <w:color w:val="000000"/>
                <w:sz w:val="24"/>
                <w:u w:val="none"/>
              </w:rPr>
              <w:t>99,681,394.25</w:t>
            </w:r>
          </w:p>
        </w:tc>
        <w:tc>
          <w:tcPr>
            <w:tcW w:w="2431" w:type="dxa"/>
            <w:shd w:val="clear" w:color="auto" w:fill="auto"/>
            <w:vAlign w:val="center"/>
          </w:tcPr>
          <w:p w14:paraId="5E2B7ED4">
            <w:pPr>
              <w:ind w:hanging="1"/>
              <w:jc w:val="right"/>
              <w:rPr>
                <w:rFonts w:ascii="宋体" w:hAnsi="宋体" w:cs="宋体"/>
                <w:color w:val="000000"/>
                <w:sz w:val="24"/>
                <w:szCs w:val="24"/>
              </w:rPr>
            </w:pPr>
            <w:r>
              <w:rPr>
                <w:rFonts w:ascii="宋体" w:hAnsi="宋体" w:cs="宋体"/>
                <w:b w:val="0"/>
                <w:i w:val="0"/>
                <w:strike w:val="0"/>
                <w:color w:val="000000"/>
                <w:sz w:val="24"/>
                <w:u w:val="none"/>
              </w:rPr>
              <w:t>1.85</w:t>
            </w:r>
          </w:p>
        </w:tc>
      </w:tr>
      <w:tr w14:paraId="394C8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6695315">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7</w:t>
            </w:r>
          </w:p>
        </w:tc>
        <w:tc>
          <w:tcPr>
            <w:tcW w:w="3159" w:type="dxa"/>
            <w:shd w:val="clear" w:color="auto" w:fill="auto"/>
            <w:vAlign w:val="center"/>
          </w:tcPr>
          <w:p w14:paraId="0EEE8F3B">
            <w:pPr>
              <w:ind w:hanging="1"/>
              <w:jc w:val="left"/>
              <w:rPr>
                <w:rFonts w:ascii="宋体" w:hAnsi="宋体" w:cs="宋体"/>
                <w:color w:val="000000"/>
                <w:sz w:val="24"/>
                <w:szCs w:val="24"/>
              </w:rPr>
            </w:pPr>
            <w:r>
              <w:rPr>
                <w:rFonts w:ascii="宋体" w:hAnsi="宋体" w:cs="宋体"/>
                <w:b w:val="0"/>
                <w:i w:val="0"/>
                <w:strike w:val="0"/>
                <w:color w:val="000000"/>
                <w:sz w:val="24"/>
                <w:u w:val="none"/>
              </w:rPr>
              <w:t>25平安银行永续债02BC</w:t>
            </w:r>
          </w:p>
        </w:tc>
        <w:tc>
          <w:tcPr>
            <w:tcW w:w="2693" w:type="dxa"/>
            <w:shd w:val="clear" w:color="auto" w:fill="auto"/>
            <w:vAlign w:val="center"/>
          </w:tcPr>
          <w:p w14:paraId="30911004">
            <w:pPr>
              <w:ind w:hanging="1"/>
              <w:jc w:val="right"/>
              <w:rPr>
                <w:rFonts w:ascii="宋体" w:hAnsi="宋体" w:cs="宋体"/>
                <w:color w:val="000000"/>
                <w:sz w:val="24"/>
                <w:szCs w:val="24"/>
              </w:rPr>
            </w:pPr>
            <w:r>
              <w:rPr>
                <w:rFonts w:ascii="宋体" w:hAnsi="宋体" w:cs="宋体"/>
                <w:b w:val="0"/>
                <w:i w:val="0"/>
                <w:strike w:val="0"/>
                <w:color w:val="000000"/>
                <w:sz w:val="24"/>
                <w:u w:val="none"/>
              </w:rPr>
              <w:t>92,680,711.64</w:t>
            </w:r>
          </w:p>
        </w:tc>
        <w:tc>
          <w:tcPr>
            <w:tcW w:w="2431" w:type="dxa"/>
            <w:shd w:val="clear" w:color="auto" w:fill="auto"/>
            <w:vAlign w:val="center"/>
          </w:tcPr>
          <w:p w14:paraId="2EAA9B24">
            <w:pPr>
              <w:ind w:hanging="1"/>
              <w:jc w:val="right"/>
              <w:rPr>
                <w:rFonts w:ascii="宋体" w:hAnsi="宋体" w:cs="宋体"/>
                <w:color w:val="000000"/>
                <w:sz w:val="24"/>
                <w:szCs w:val="24"/>
              </w:rPr>
            </w:pPr>
            <w:r>
              <w:rPr>
                <w:rFonts w:ascii="宋体" w:hAnsi="宋体" w:cs="宋体"/>
                <w:b w:val="0"/>
                <w:i w:val="0"/>
                <w:strike w:val="0"/>
                <w:color w:val="000000"/>
                <w:sz w:val="24"/>
                <w:u w:val="none"/>
              </w:rPr>
              <w:t>1.72</w:t>
            </w:r>
          </w:p>
        </w:tc>
      </w:tr>
      <w:tr w14:paraId="2C8CF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81B835D">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8</w:t>
            </w:r>
          </w:p>
        </w:tc>
        <w:tc>
          <w:tcPr>
            <w:tcW w:w="3159" w:type="dxa"/>
            <w:shd w:val="clear" w:color="auto" w:fill="auto"/>
            <w:vAlign w:val="center"/>
          </w:tcPr>
          <w:p w14:paraId="4232C3C6">
            <w:pPr>
              <w:ind w:hanging="1"/>
              <w:jc w:val="left"/>
              <w:rPr>
                <w:rFonts w:ascii="宋体" w:hAnsi="宋体" w:cs="宋体"/>
                <w:color w:val="000000"/>
                <w:sz w:val="24"/>
                <w:szCs w:val="24"/>
              </w:rPr>
            </w:pPr>
            <w:r>
              <w:rPr>
                <w:rFonts w:ascii="宋体" w:hAnsi="宋体" w:cs="宋体"/>
                <w:b w:val="0"/>
                <w:i w:val="0"/>
                <w:strike w:val="0"/>
                <w:color w:val="000000"/>
                <w:sz w:val="24"/>
                <w:u w:val="none"/>
              </w:rPr>
              <w:t>25威海05</w:t>
            </w:r>
          </w:p>
        </w:tc>
        <w:tc>
          <w:tcPr>
            <w:tcW w:w="2693" w:type="dxa"/>
            <w:shd w:val="clear" w:color="auto" w:fill="auto"/>
            <w:vAlign w:val="center"/>
          </w:tcPr>
          <w:p w14:paraId="4A94A2FC">
            <w:pPr>
              <w:ind w:hanging="1"/>
              <w:jc w:val="right"/>
              <w:rPr>
                <w:rFonts w:ascii="宋体" w:hAnsi="宋体" w:cs="宋体"/>
                <w:color w:val="000000"/>
                <w:sz w:val="24"/>
                <w:szCs w:val="24"/>
              </w:rPr>
            </w:pPr>
            <w:r>
              <w:rPr>
                <w:rFonts w:ascii="宋体" w:hAnsi="宋体" w:cs="宋体"/>
                <w:b w:val="0"/>
                <w:i w:val="0"/>
                <w:strike w:val="0"/>
                <w:color w:val="000000"/>
                <w:sz w:val="24"/>
                <w:u w:val="none"/>
              </w:rPr>
              <w:t>82,436,300.27</w:t>
            </w:r>
          </w:p>
        </w:tc>
        <w:tc>
          <w:tcPr>
            <w:tcW w:w="2431" w:type="dxa"/>
            <w:shd w:val="clear" w:color="auto" w:fill="auto"/>
            <w:vAlign w:val="center"/>
          </w:tcPr>
          <w:p w14:paraId="1152D14F">
            <w:pPr>
              <w:ind w:hanging="1"/>
              <w:jc w:val="right"/>
              <w:rPr>
                <w:rFonts w:ascii="宋体" w:hAnsi="宋体" w:cs="宋体"/>
                <w:color w:val="000000"/>
                <w:sz w:val="24"/>
                <w:szCs w:val="24"/>
              </w:rPr>
            </w:pPr>
            <w:r>
              <w:rPr>
                <w:rFonts w:ascii="宋体" w:hAnsi="宋体" w:cs="宋体"/>
                <w:b w:val="0"/>
                <w:i w:val="0"/>
                <w:strike w:val="0"/>
                <w:color w:val="000000"/>
                <w:sz w:val="24"/>
                <w:u w:val="none"/>
              </w:rPr>
              <w:t>1.53</w:t>
            </w:r>
          </w:p>
        </w:tc>
      </w:tr>
      <w:tr w14:paraId="6F219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AEA79FF">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9</w:t>
            </w:r>
          </w:p>
        </w:tc>
        <w:tc>
          <w:tcPr>
            <w:tcW w:w="3159" w:type="dxa"/>
            <w:shd w:val="clear" w:color="auto" w:fill="auto"/>
            <w:vAlign w:val="center"/>
          </w:tcPr>
          <w:p w14:paraId="2ACE50F2">
            <w:pPr>
              <w:ind w:hanging="1"/>
              <w:jc w:val="left"/>
              <w:rPr>
                <w:rFonts w:ascii="宋体" w:hAnsi="宋体" w:cs="宋体"/>
                <w:color w:val="000000"/>
                <w:sz w:val="24"/>
                <w:szCs w:val="24"/>
              </w:rPr>
            </w:pPr>
            <w:r>
              <w:rPr>
                <w:rFonts w:ascii="宋体" w:hAnsi="宋体" w:cs="宋体"/>
                <w:b w:val="0"/>
                <w:i w:val="0"/>
                <w:strike w:val="0"/>
                <w:color w:val="000000"/>
                <w:sz w:val="24"/>
                <w:u w:val="none"/>
              </w:rPr>
              <w:t>25滨州02</w:t>
            </w:r>
          </w:p>
        </w:tc>
        <w:tc>
          <w:tcPr>
            <w:tcW w:w="2693" w:type="dxa"/>
            <w:shd w:val="clear" w:color="auto" w:fill="auto"/>
            <w:vAlign w:val="center"/>
          </w:tcPr>
          <w:p w14:paraId="3058010F">
            <w:pPr>
              <w:ind w:hanging="1"/>
              <w:jc w:val="right"/>
              <w:rPr>
                <w:rFonts w:ascii="宋体" w:hAnsi="宋体" w:cs="宋体"/>
                <w:color w:val="000000"/>
                <w:sz w:val="24"/>
                <w:szCs w:val="24"/>
              </w:rPr>
            </w:pPr>
            <w:r>
              <w:rPr>
                <w:rFonts w:ascii="宋体" w:hAnsi="宋体" w:cs="宋体"/>
                <w:b w:val="0"/>
                <w:i w:val="0"/>
                <w:strike w:val="0"/>
                <w:color w:val="000000"/>
                <w:sz w:val="24"/>
                <w:u w:val="none"/>
              </w:rPr>
              <w:t>71,698,972.88</w:t>
            </w:r>
          </w:p>
        </w:tc>
        <w:tc>
          <w:tcPr>
            <w:tcW w:w="2431" w:type="dxa"/>
            <w:shd w:val="clear" w:color="auto" w:fill="auto"/>
            <w:vAlign w:val="center"/>
          </w:tcPr>
          <w:p w14:paraId="5E2FFAA9">
            <w:pPr>
              <w:ind w:hanging="1"/>
              <w:jc w:val="right"/>
              <w:rPr>
                <w:rFonts w:ascii="宋体" w:hAnsi="宋体" w:cs="宋体"/>
                <w:color w:val="000000"/>
                <w:sz w:val="24"/>
                <w:szCs w:val="24"/>
              </w:rPr>
            </w:pPr>
            <w:r>
              <w:rPr>
                <w:rFonts w:ascii="宋体" w:hAnsi="宋体" w:cs="宋体"/>
                <w:b w:val="0"/>
                <w:i w:val="0"/>
                <w:strike w:val="0"/>
                <w:color w:val="000000"/>
                <w:sz w:val="24"/>
                <w:u w:val="none"/>
              </w:rPr>
              <w:t>1.33</w:t>
            </w:r>
          </w:p>
        </w:tc>
      </w:tr>
      <w:tr w14:paraId="0006C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0F0F0CA">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10</w:t>
            </w:r>
          </w:p>
        </w:tc>
        <w:tc>
          <w:tcPr>
            <w:tcW w:w="3159" w:type="dxa"/>
            <w:shd w:val="clear" w:color="auto" w:fill="auto"/>
            <w:vAlign w:val="center"/>
          </w:tcPr>
          <w:p w14:paraId="79F180A7">
            <w:pPr>
              <w:ind w:hanging="1"/>
              <w:jc w:val="left"/>
              <w:rPr>
                <w:rFonts w:ascii="宋体" w:hAnsi="宋体" w:cs="宋体"/>
                <w:color w:val="000000"/>
                <w:sz w:val="24"/>
                <w:szCs w:val="24"/>
              </w:rPr>
            </w:pPr>
            <w:r>
              <w:rPr>
                <w:rFonts w:ascii="宋体" w:hAnsi="宋体" w:cs="宋体"/>
                <w:b w:val="0"/>
                <w:i w:val="0"/>
                <w:strike w:val="0"/>
                <w:color w:val="000000"/>
                <w:sz w:val="24"/>
                <w:u w:val="none"/>
              </w:rPr>
              <w:t>25国开11</w:t>
            </w:r>
          </w:p>
        </w:tc>
        <w:tc>
          <w:tcPr>
            <w:tcW w:w="2693" w:type="dxa"/>
            <w:shd w:val="clear" w:color="auto" w:fill="auto"/>
            <w:vAlign w:val="center"/>
          </w:tcPr>
          <w:p w14:paraId="287535B2">
            <w:pPr>
              <w:ind w:hanging="1"/>
              <w:jc w:val="right"/>
              <w:rPr>
                <w:rFonts w:ascii="宋体" w:hAnsi="宋体" w:cs="宋体"/>
                <w:color w:val="000000"/>
                <w:sz w:val="24"/>
                <w:szCs w:val="24"/>
              </w:rPr>
            </w:pPr>
            <w:r>
              <w:rPr>
                <w:rFonts w:ascii="宋体" w:hAnsi="宋体" w:cs="宋体"/>
                <w:b w:val="0"/>
                <w:i w:val="0"/>
                <w:strike w:val="0"/>
                <w:color w:val="000000"/>
                <w:sz w:val="24"/>
                <w:u w:val="none"/>
              </w:rPr>
              <w:t>70,901,512.74</w:t>
            </w:r>
          </w:p>
        </w:tc>
        <w:tc>
          <w:tcPr>
            <w:tcW w:w="2431" w:type="dxa"/>
            <w:shd w:val="clear" w:color="auto" w:fill="auto"/>
            <w:vAlign w:val="center"/>
          </w:tcPr>
          <w:p w14:paraId="4FB84D6F">
            <w:pPr>
              <w:ind w:hanging="1"/>
              <w:jc w:val="right"/>
              <w:rPr>
                <w:rFonts w:ascii="宋体" w:hAnsi="宋体" w:cs="宋体"/>
                <w:color w:val="000000"/>
                <w:sz w:val="24"/>
                <w:szCs w:val="24"/>
              </w:rPr>
            </w:pPr>
            <w:r>
              <w:rPr>
                <w:rFonts w:ascii="宋体" w:hAnsi="宋体" w:cs="宋体"/>
                <w:b w:val="0"/>
                <w:i w:val="0"/>
                <w:strike w:val="0"/>
                <w:color w:val="000000"/>
                <w:sz w:val="24"/>
                <w:u w:val="none"/>
              </w:rPr>
              <w:t>1.31</w:t>
            </w:r>
          </w:p>
        </w:tc>
      </w:tr>
    </w:tbl>
    <w:p w14:paraId="4428CA4F">
      <w:pPr>
        <w:rPr>
          <w:rFonts w:ascii="宋体" w:hAnsi="宋体"/>
          <w:sz w:val="24"/>
        </w:rPr>
      </w:pPr>
      <w:r>
        <w:rPr>
          <w:rFonts w:hint="eastAsia" w:ascii="宋体" w:hAnsi="宋体"/>
          <w:sz w:val="24"/>
        </w:rPr>
        <w:t xml:space="preserve"> </w:t>
      </w:r>
    </w:p>
    <w:p w14:paraId="2F55060A">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注：前十项资产明细仅包含证券投资、场外投资，不包含银行存款、存出保证金、清算备付金等资产。</w:t>
      </w:r>
    </w:p>
    <w:p w14:paraId="7A8364BF">
      <w:pPr>
        <w:jc w:val="left"/>
        <w:rPr>
          <w:rFonts w:asciiTheme="minorEastAsia" w:hAnsiTheme="minorEastAsia" w:eastAsiaTheme="minorEastAsia"/>
          <w:sz w:val="24"/>
          <w:szCs w:val="24"/>
        </w:rPr>
      </w:pPr>
    </w:p>
    <w:p w14:paraId="2E7DACF8">
      <w:pPr>
        <w:ind w:left="4" w:leftChars="2"/>
        <w:jc w:val="left"/>
        <w:rPr>
          <w:rFonts w:ascii="宋体" w:hAnsi="宋体"/>
          <w:sz w:val="24"/>
          <w:szCs w:val="24"/>
        </w:rPr>
      </w:pPr>
      <w:r>
        <w:rPr>
          <w:rFonts w:hint="eastAsia" w:ascii="宋体" w:hAnsi="宋体"/>
          <w:sz w:val="24"/>
          <w:szCs w:val="24"/>
        </w:rPr>
        <w:t>4.4 报告期末投资非标准化债权资产情况</w:t>
      </w:r>
    </w:p>
    <w:tbl>
      <w:tblPr>
        <w:tblStyle w:val="17"/>
        <w:tblW w:w="90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992"/>
        <w:gridCol w:w="993"/>
        <w:gridCol w:w="1291"/>
        <w:gridCol w:w="1350"/>
        <w:gridCol w:w="2133"/>
        <w:gridCol w:w="1567"/>
      </w:tblGrid>
      <w:tr w14:paraId="11C39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704" w:type="dxa"/>
            <w:shd w:val="clear" w:color="auto" w:fill="D9D9D9"/>
            <w:vAlign w:val="center"/>
          </w:tcPr>
          <w:p w14:paraId="3010FDBA">
            <w:pPr>
              <w:rPr>
                <w:rFonts w:ascii="宋体" w:hAnsi="宋体"/>
                <w:b/>
                <w:sz w:val="24"/>
                <w:szCs w:val="24"/>
              </w:rPr>
            </w:pPr>
            <w:r>
              <w:rPr>
                <w:rFonts w:hint="eastAsia" w:ascii="宋体" w:hAnsi="宋体"/>
                <w:b/>
                <w:sz w:val="24"/>
                <w:szCs w:val="24"/>
              </w:rPr>
              <w:t>序号</w:t>
            </w:r>
          </w:p>
        </w:tc>
        <w:tc>
          <w:tcPr>
            <w:tcW w:w="992" w:type="dxa"/>
            <w:shd w:val="clear" w:color="auto" w:fill="D9D9D9"/>
            <w:vAlign w:val="center"/>
          </w:tcPr>
          <w:p w14:paraId="5020E38A">
            <w:pPr>
              <w:jc w:val="left"/>
              <w:rPr>
                <w:rFonts w:ascii="宋体" w:hAnsi="宋体"/>
                <w:b/>
                <w:sz w:val="24"/>
                <w:szCs w:val="24"/>
              </w:rPr>
            </w:pPr>
            <w:r>
              <w:rPr>
                <w:rFonts w:hint="eastAsia" w:ascii="宋体" w:hAnsi="宋体"/>
                <w:b/>
                <w:sz w:val="24"/>
                <w:szCs w:val="24"/>
              </w:rPr>
              <w:t>项目名称</w:t>
            </w:r>
          </w:p>
        </w:tc>
        <w:tc>
          <w:tcPr>
            <w:tcW w:w="993" w:type="dxa"/>
            <w:shd w:val="clear" w:color="auto" w:fill="D9D9D9"/>
            <w:vAlign w:val="center"/>
          </w:tcPr>
          <w:p w14:paraId="57EBA47D">
            <w:pPr>
              <w:jc w:val="left"/>
              <w:rPr>
                <w:rFonts w:ascii="宋体" w:hAnsi="宋体"/>
                <w:b/>
                <w:sz w:val="24"/>
                <w:szCs w:val="24"/>
              </w:rPr>
            </w:pPr>
            <w:r>
              <w:rPr>
                <w:rFonts w:hint="eastAsia" w:ascii="宋体" w:hAnsi="宋体"/>
                <w:b/>
                <w:sz w:val="24"/>
                <w:szCs w:val="24"/>
              </w:rPr>
              <w:t>融资客户</w:t>
            </w:r>
          </w:p>
        </w:tc>
        <w:tc>
          <w:tcPr>
            <w:tcW w:w="1291" w:type="dxa"/>
            <w:shd w:val="clear" w:color="auto" w:fill="D9D9D9"/>
            <w:vAlign w:val="center"/>
          </w:tcPr>
          <w:p w14:paraId="0853A24D">
            <w:pPr>
              <w:jc w:val="left"/>
              <w:rPr>
                <w:rFonts w:ascii="宋体" w:hAnsi="宋体"/>
                <w:b/>
                <w:sz w:val="24"/>
                <w:szCs w:val="24"/>
              </w:rPr>
            </w:pPr>
            <w:r>
              <w:rPr>
                <w:rFonts w:hint="eastAsia" w:ascii="宋体" w:hAnsi="宋体"/>
                <w:b/>
                <w:sz w:val="24"/>
                <w:szCs w:val="24"/>
              </w:rPr>
              <w:t>剩余融资期限（天）</w:t>
            </w:r>
          </w:p>
        </w:tc>
        <w:tc>
          <w:tcPr>
            <w:tcW w:w="1350" w:type="dxa"/>
            <w:shd w:val="clear" w:color="auto" w:fill="D9D9D9"/>
            <w:vAlign w:val="center"/>
          </w:tcPr>
          <w:p w14:paraId="1600BD53">
            <w:pPr>
              <w:jc w:val="left"/>
              <w:rPr>
                <w:rFonts w:ascii="宋体" w:hAnsi="宋体"/>
                <w:b/>
                <w:sz w:val="24"/>
                <w:szCs w:val="24"/>
              </w:rPr>
            </w:pPr>
            <w:r>
              <w:rPr>
                <w:rFonts w:hint="eastAsia" w:ascii="宋体" w:hAnsi="宋体"/>
                <w:b/>
                <w:sz w:val="24"/>
                <w:szCs w:val="24"/>
              </w:rPr>
              <w:t>到期收益分配</w:t>
            </w:r>
          </w:p>
        </w:tc>
        <w:tc>
          <w:tcPr>
            <w:tcW w:w="2133" w:type="dxa"/>
            <w:shd w:val="clear" w:color="auto" w:fill="D9D9D9"/>
            <w:vAlign w:val="center"/>
          </w:tcPr>
          <w:p w14:paraId="6BFCEEC8">
            <w:pPr>
              <w:jc w:val="left"/>
              <w:rPr>
                <w:rFonts w:ascii="宋体" w:hAnsi="宋体"/>
                <w:b/>
                <w:sz w:val="24"/>
                <w:szCs w:val="24"/>
              </w:rPr>
            </w:pPr>
            <w:r>
              <w:rPr>
                <w:rFonts w:hint="eastAsia" w:ascii="宋体" w:hAnsi="宋体"/>
                <w:b/>
                <w:sz w:val="24"/>
                <w:szCs w:val="24"/>
              </w:rPr>
              <w:t>交易结构</w:t>
            </w:r>
          </w:p>
        </w:tc>
        <w:tc>
          <w:tcPr>
            <w:tcW w:w="1567" w:type="dxa"/>
            <w:shd w:val="clear" w:color="auto" w:fill="D9D9D9"/>
            <w:vAlign w:val="center"/>
          </w:tcPr>
          <w:p w14:paraId="40E7241F">
            <w:pPr>
              <w:jc w:val="left"/>
              <w:rPr>
                <w:rFonts w:ascii="宋体" w:hAnsi="宋体"/>
                <w:b/>
                <w:sz w:val="24"/>
                <w:szCs w:val="24"/>
              </w:rPr>
            </w:pPr>
            <w:r>
              <w:rPr>
                <w:rFonts w:hint="eastAsia" w:ascii="宋体" w:hAnsi="宋体"/>
                <w:b/>
                <w:sz w:val="24"/>
                <w:szCs w:val="24"/>
              </w:rPr>
              <w:t>风险状况</w:t>
            </w:r>
          </w:p>
        </w:tc>
      </w:tr>
      <w:tr w14:paraId="22573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704" w:type="dxa"/>
            <w:shd w:val="clear" w:color="auto" w:fill="auto"/>
            <w:vAlign w:val="center"/>
          </w:tcPr>
          <w:p w14:paraId="4B35347A">
            <w:pPr>
              <w:jc w:val="center"/>
              <w:rPr>
                <w:rFonts w:ascii="宋体" w:hAnsi="宋体" w:cs="宋体"/>
                <w:color w:val="000000"/>
                <w:sz w:val="24"/>
                <w:szCs w:val="24"/>
              </w:rPr>
            </w:pPr>
          </w:p>
        </w:tc>
        <w:tc>
          <w:tcPr>
            <w:tcW w:w="992" w:type="dxa"/>
            <w:shd w:val="clear" w:color="auto" w:fill="auto"/>
            <w:vAlign w:val="center"/>
          </w:tcPr>
          <w:p w14:paraId="55272319">
            <w:pPr>
              <w:rPr>
                <w:rFonts w:ascii="宋体" w:hAnsi="宋体" w:cs="宋体"/>
                <w:color w:val="000000"/>
                <w:sz w:val="24"/>
                <w:szCs w:val="24"/>
              </w:rPr>
            </w:pPr>
          </w:p>
        </w:tc>
        <w:tc>
          <w:tcPr>
            <w:tcW w:w="993" w:type="dxa"/>
            <w:shd w:val="clear" w:color="auto" w:fill="auto"/>
            <w:vAlign w:val="center"/>
          </w:tcPr>
          <w:p w14:paraId="4076E8CF">
            <w:pPr>
              <w:jc w:val="left"/>
              <w:rPr>
                <w:rFonts w:ascii="宋体" w:hAnsi="宋体" w:cs="宋体"/>
                <w:color w:val="000000"/>
                <w:sz w:val="24"/>
                <w:szCs w:val="24"/>
              </w:rPr>
            </w:pPr>
          </w:p>
        </w:tc>
        <w:tc>
          <w:tcPr>
            <w:tcW w:w="1291" w:type="dxa"/>
            <w:shd w:val="clear" w:color="auto" w:fill="auto"/>
            <w:vAlign w:val="center"/>
          </w:tcPr>
          <w:p w14:paraId="7CA753AA">
            <w:pPr>
              <w:jc w:val="right"/>
              <w:rPr>
                <w:rFonts w:ascii="宋体" w:hAnsi="宋体" w:cs="宋体"/>
                <w:color w:val="000000"/>
                <w:sz w:val="24"/>
                <w:szCs w:val="24"/>
              </w:rPr>
            </w:pPr>
          </w:p>
        </w:tc>
        <w:tc>
          <w:tcPr>
            <w:tcW w:w="1350" w:type="dxa"/>
            <w:vAlign w:val="center"/>
          </w:tcPr>
          <w:p w14:paraId="15812E29">
            <w:pPr>
              <w:jc w:val="right"/>
              <w:rPr>
                <w:rFonts w:ascii="宋体" w:hAnsi="宋体" w:cs="宋体"/>
                <w:color w:val="000000"/>
                <w:sz w:val="24"/>
                <w:szCs w:val="24"/>
              </w:rPr>
            </w:pPr>
          </w:p>
        </w:tc>
        <w:tc>
          <w:tcPr>
            <w:tcW w:w="2133" w:type="dxa"/>
            <w:vAlign w:val="center"/>
          </w:tcPr>
          <w:p w14:paraId="4ED1C101">
            <w:pPr>
              <w:jc w:val="left"/>
              <w:rPr>
                <w:rFonts w:ascii="宋体" w:hAnsi="宋体"/>
                <w:sz w:val="24"/>
                <w:szCs w:val="24"/>
              </w:rPr>
            </w:pPr>
          </w:p>
        </w:tc>
        <w:tc>
          <w:tcPr>
            <w:tcW w:w="1567" w:type="dxa"/>
            <w:vAlign w:val="center"/>
          </w:tcPr>
          <w:p w14:paraId="6C3A527E">
            <w:pPr>
              <w:jc w:val="left"/>
              <w:rPr>
                <w:rFonts w:ascii="宋体" w:hAnsi="宋体"/>
                <w:sz w:val="24"/>
                <w:szCs w:val="24"/>
              </w:rPr>
            </w:pPr>
          </w:p>
        </w:tc>
      </w:tr>
    </w:tbl>
    <w:p w14:paraId="621BBA93">
      <w:pPr>
        <w:ind w:left="4" w:leftChars="2"/>
        <w:jc w:val="left"/>
        <w:rPr>
          <w:rFonts w:asciiTheme="minorEastAsia" w:hAnsiTheme="minorEastAsia" w:eastAsiaTheme="minorEastAsia"/>
          <w:szCs w:val="21"/>
        </w:rPr>
      </w:pPr>
    </w:p>
    <w:p w14:paraId="01C9E9AB">
      <w:pPr>
        <w:ind w:left="4" w:leftChars="2"/>
        <w:jc w:val="left"/>
        <w:rPr>
          <w:rFonts w:ascii="宋体" w:hAnsi="宋体"/>
          <w:sz w:val="24"/>
          <w:szCs w:val="24"/>
        </w:rPr>
      </w:pPr>
      <w:r>
        <w:rPr>
          <w:rFonts w:hint="eastAsia" w:ascii="宋体" w:hAnsi="宋体" w:cs="宋体"/>
          <w:color w:val="000000"/>
          <w:sz w:val="24"/>
          <w:szCs w:val="24"/>
        </w:rPr>
        <w:t>4.5 产品份额变动</w:t>
      </w:r>
    </w:p>
    <w:p w14:paraId="3640F8C1">
      <w:pPr>
        <w:ind w:left="4" w:leftChars="2"/>
        <w:jc w:val="right"/>
        <w:rPr>
          <w:rFonts w:asciiTheme="minorEastAsia" w:hAnsiTheme="minorEastAsia" w:eastAsiaTheme="minorEastAsia"/>
          <w:szCs w:val="21"/>
        </w:rPr>
      </w:pPr>
      <w:r>
        <w:rPr>
          <w:rFonts w:hint="eastAsia" w:ascii="宋体" w:hAnsi="宋体" w:cs="宋体"/>
          <w:color w:val="000000"/>
          <w:sz w:val="24"/>
          <w:szCs w:val="24"/>
        </w:rPr>
        <w:t>单位：份</w:t>
      </w:r>
    </w:p>
    <w:tbl>
      <w:tblPr>
        <w:tblStyle w:val="17"/>
        <w:tblW w:w="8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6008"/>
      </w:tblGrid>
      <w:tr w14:paraId="0DEA8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tcMar>
              <w:top w:w="0" w:type="dxa"/>
              <w:left w:w="118" w:type="dxa"/>
              <w:bottom w:w="10" w:type="dxa"/>
              <w:right w:w="118" w:type="dxa"/>
            </w:tcMar>
          </w:tcPr>
          <w:p w14:paraId="0822681F">
            <w:pPr>
              <w:rPr>
                <w:rFonts w:ascii="宋体" w:hAnsi="宋体" w:cs="宋体"/>
                <w:color w:val="000000"/>
                <w:sz w:val="24"/>
                <w:szCs w:val="24"/>
              </w:rPr>
            </w:pPr>
            <w:r>
              <w:rPr>
                <w:rFonts w:ascii="宋体" w:hAnsi="宋体" w:cs="宋体"/>
                <w:color w:val="000000"/>
                <w:sz w:val="24"/>
                <w:szCs w:val="24"/>
              </w:rPr>
              <w:t>报告期期初产品份额总额</w:t>
            </w:r>
          </w:p>
        </w:tc>
        <w:tc>
          <w:tcPr>
            <w:tcW w:w="6008" w:type="dxa"/>
            <w:tcMar>
              <w:top w:w="0" w:type="dxa"/>
              <w:left w:w="108" w:type="dxa"/>
              <w:bottom w:w="10" w:type="dxa"/>
              <w:right w:w="118" w:type="dxa"/>
            </w:tcMar>
          </w:tcPr>
          <w:p w14:paraId="220FDB6C">
            <w:pPr>
              <w:jc w:val="right"/>
              <w:rPr>
                <w:rFonts w:ascii="宋体" w:hAnsi="宋体" w:cs="宋体"/>
                <w:color w:val="000000"/>
                <w:sz w:val="24"/>
                <w:szCs w:val="24"/>
              </w:rPr>
            </w:pPr>
            <w:r>
              <w:rPr>
                <w:rFonts w:ascii="宋体" w:hAnsi="宋体" w:cs="宋体"/>
                <w:color w:val="000000"/>
                <w:sz w:val="24"/>
                <w:szCs w:val="24"/>
              </w:rPr>
              <w:t>4,650,317,984.15</w:t>
            </w:r>
          </w:p>
        </w:tc>
      </w:tr>
      <w:tr w14:paraId="056F7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tcMar>
              <w:top w:w="0" w:type="dxa"/>
              <w:left w:w="118" w:type="dxa"/>
              <w:bottom w:w="10" w:type="dxa"/>
              <w:right w:w="118" w:type="dxa"/>
            </w:tcMar>
          </w:tcPr>
          <w:p w14:paraId="6CA441D5">
            <w:pPr>
              <w:rPr>
                <w:rFonts w:ascii="宋体" w:hAnsi="宋体" w:cs="宋体"/>
                <w:color w:val="000000"/>
                <w:sz w:val="24"/>
                <w:szCs w:val="24"/>
              </w:rPr>
            </w:pPr>
            <w:r>
              <w:rPr>
                <w:rFonts w:ascii="宋体" w:hAnsi="宋体" w:cs="宋体"/>
                <w:color w:val="000000"/>
                <w:sz w:val="24"/>
                <w:szCs w:val="24"/>
              </w:rPr>
              <w:t>报告期期间产品总申购份额</w:t>
            </w:r>
          </w:p>
        </w:tc>
        <w:tc>
          <w:tcPr>
            <w:tcW w:w="6008" w:type="dxa"/>
            <w:tcMar>
              <w:top w:w="0" w:type="dxa"/>
              <w:left w:w="108" w:type="dxa"/>
              <w:bottom w:w="10" w:type="dxa"/>
              <w:right w:w="118" w:type="dxa"/>
            </w:tcMar>
          </w:tcPr>
          <w:p w14:paraId="0C275D79">
            <w:pPr>
              <w:jc w:val="right"/>
              <w:rPr>
                <w:rFonts w:ascii="宋体" w:hAnsi="宋体" w:cs="宋体"/>
                <w:color w:val="000000"/>
                <w:sz w:val="24"/>
                <w:szCs w:val="24"/>
              </w:rPr>
            </w:pPr>
            <w:r>
              <w:rPr>
                <w:rFonts w:ascii="宋体" w:hAnsi="宋体" w:cs="宋体"/>
                <w:color w:val="000000"/>
                <w:sz w:val="24"/>
                <w:szCs w:val="24"/>
              </w:rPr>
              <w:t>5,742,417,217.07</w:t>
            </w:r>
          </w:p>
        </w:tc>
      </w:tr>
      <w:tr w14:paraId="36ED4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tcMar>
              <w:top w:w="0" w:type="dxa"/>
              <w:left w:w="118" w:type="dxa"/>
              <w:bottom w:w="10" w:type="dxa"/>
              <w:right w:w="118" w:type="dxa"/>
            </w:tcMar>
          </w:tcPr>
          <w:p w14:paraId="3EE57D0D">
            <w:pPr>
              <w:rPr>
                <w:rFonts w:ascii="宋体" w:hAnsi="宋体" w:cs="宋体"/>
                <w:color w:val="000000"/>
                <w:sz w:val="24"/>
                <w:szCs w:val="24"/>
              </w:rPr>
            </w:pPr>
            <w:r>
              <w:rPr>
                <w:rFonts w:ascii="宋体" w:hAnsi="宋体" w:cs="宋体"/>
                <w:color w:val="000000"/>
                <w:sz w:val="24"/>
                <w:szCs w:val="24"/>
              </w:rPr>
              <w:t>报告期期间产品总赎回份额</w:t>
            </w:r>
          </w:p>
        </w:tc>
        <w:tc>
          <w:tcPr>
            <w:tcW w:w="6008" w:type="dxa"/>
            <w:tcMar>
              <w:top w:w="0" w:type="dxa"/>
              <w:left w:w="108" w:type="dxa"/>
              <w:bottom w:w="10" w:type="dxa"/>
              <w:right w:w="118" w:type="dxa"/>
            </w:tcMar>
          </w:tcPr>
          <w:p w14:paraId="76193723">
            <w:pPr>
              <w:jc w:val="right"/>
              <w:rPr>
                <w:rFonts w:ascii="宋体" w:hAnsi="宋体" w:cs="宋体"/>
                <w:color w:val="000000"/>
                <w:sz w:val="24"/>
                <w:szCs w:val="24"/>
              </w:rPr>
            </w:pPr>
            <w:r>
              <w:rPr>
                <w:rFonts w:ascii="宋体" w:hAnsi="宋体" w:cs="宋体"/>
                <w:color w:val="000000"/>
                <w:sz w:val="24"/>
                <w:szCs w:val="24"/>
              </w:rPr>
              <w:t>-5,717,658,908.54</w:t>
            </w:r>
          </w:p>
        </w:tc>
      </w:tr>
      <w:tr w14:paraId="13D40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tcMar>
              <w:top w:w="0" w:type="dxa"/>
              <w:left w:w="118" w:type="dxa"/>
              <w:bottom w:w="10" w:type="dxa"/>
              <w:right w:w="118" w:type="dxa"/>
            </w:tcMar>
          </w:tcPr>
          <w:p w14:paraId="621DF3B6">
            <w:pPr>
              <w:rPr>
                <w:rFonts w:ascii="宋体" w:hAnsi="宋体" w:cs="宋体"/>
                <w:color w:val="000000"/>
                <w:sz w:val="24"/>
                <w:szCs w:val="24"/>
              </w:rPr>
            </w:pPr>
            <w:r>
              <w:rPr>
                <w:rFonts w:ascii="宋体" w:hAnsi="宋体" w:cs="宋体"/>
                <w:color w:val="000000"/>
                <w:sz w:val="24"/>
                <w:szCs w:val="24"/>
              </w:rPr>
              <w:t>报告期期末产品份额总额</w:t>
            </w:r>
          </w:p>
        </w:tc>
        <w:tc>
          <w:tcPr>
            <w:tcW w:w="6008" w:type="dxa"/>
            <w:tcMar>
              <w:top w:w="0" w:type="dxa"/>
              <w:left w:w="108" w:type="dxa"/>
              <w:bottom w:w="10" w:type="dxa"/>
              <w:right w:w="118" w:type="dxa"/>
            </w:tcMar>
          </w:tcPr>
          <w:p w14:paraId="0702E096">
            <w:pPr>
              <w:jc w:val="right"/>
              <w:rPr>
                <w:rFonts w:ascii="宋体" w:hAnsi="宋体" w:cs="宋体"/>
                <w:color w:val="000000"/>
                <w:sz w:val="24"/>
                <w:szCs w:val="24"/>
              </w:rPr>
            </w:pPr>
            <w:r>
              <w:rPr>
                <w:rFonts w:ascii="宋体" w:hAnsi="宋体" w:cs="宋体"/>
                <w:color w:val="000000"/>
                <w:sz w:val="24"/>
                <w:szCs w:val="24"/>
              </w:rPr>
              <w:t>4,675,076,292.68</w:t>
            </w:r>
          </w:p>
        </w:tc>
      </w:tr>
    </w:tbl>
    <w:p w14:paraId="34AA3E2E">
      <w:pPr>
        <w:spacing w:line="360" w:lineRule="auto"/>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4.6 投资账户信息</w:t>
      </w:r>
    </w:p>
    <w:tbl>
      <w:tblPr>
        <w:tblStyle w:val="17"/>
        <w:tblW w:w="8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0"/>
        <w:gridCol w:w="1838"/>
        <w:gridCol w:w="1734"/>
        <w:gridCol w:w="3818"/>
      </w:tblGrid>
      <w:tr w14:paraId="638C2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590" w:type="dxa"/>
            <w:tcMar>
              <w:top w:w="0" w:type="dxa"/>
              <w:left w:w="118" w:type="dxa"/>
              <w:bottom w:w="10" w:type="dxa"/>
              <w:right w:w="118" w:type="dxa"/>
            </w:tcMar>
          </w:tcPr>
          <w:p w14:paraId="384B65B2">
            <w:pPr>
              <w:rPr>
                <w:rFonts w:hint="default" w:ascii="宋体" w:hAnsi="宋体" w:eastAsia="宋体" w:cs="宋体"/>
                <w:color w:val="000000"/>
                <w:sz w:val="24"/>
                <w:szCs w:val="24"/>
                <w:lang w:val="en-US" w:eastAsia="zh-CN"/>
              </w:rPr>
            </w:pPr>
            <w:r>
              <w:rPr>
                <w:rFonts w:hint="eastAsia" w:ascii="宋体" w:hAnsi="宋体" w:cs="宋体"/>
                <w:color w:val="000000"/>
                <w:sz w:val="24"/>
                <w:szCs w:val="24"/>
                <w:lang w:val="en-US" w:eastAsia="zh-CN"/>
              </w:rPr>
              <w:t>账户类型</w:t>
            </w:r>
          </w:p>
        </w:tc>
        <w:tc>
          <w:tcPr>
            <w:tcW w:w="1838" w:type="dxa"/>
            <w:tcMar>
              <w:top w:w="0" w:type="dxa"/>
              <w:left w:w="108" w:type="dxa"/>
              <w:bottom w:w="10" w:type="dxa"/>
              <w:right w:w="118" w:type="dxa"/>
            </w:tcMar>
            <w:vAlign w:val="top"/>
          </w:tcPr>
          <w:p w14:paraId="27D09EF5">
            <w:pPr>
              <w:rPr>
                <w:rFonts w:hint="eastAsia" w:ascii="宋体" w:hAnsi="宋体" w:eastAsia="宋体" w:cs="宋体"/>
                <w:color w:val="000000"/>
                <w:sz w:val="24"/>
                <w:szCs w:val="24"/>
                <w:lang w:val="en-US" w:eastAsia="zh-CN"/>
              </w:rPr>
            </w:pPr>
            <w:r>
              <w:rPr>
                <w:rFonts w:hint="eastAsia" w:ascii="宋体" w:hAnsi="宋体" w:cs="宋体"/>
                <w:color w:val="000000"/>
                <w:sz w:val="24"/>
                <w:szCs w:val="24"/>
                <w:lang w:val="en-US" w:eastAsia="zh-CN"/>
              </w:rPr>
              <w:t>账户名称</w:t>
            </w:r>
          </w:p>
        </w:tc>
        <w:tc>
          <w:tcPr>
            <w:tcW w:w="1734" w:type="dxa"/>
            <w:tcMar>
              <w:top w:w="0" w:type="dxa"/>
              <w:left w:w="108" w:type="dxa"/>
              <w:bottom w:w="10" w:type="dxa"/>
              <w:right w:w="118" w:type="dxa"/>
            </w:tcMar>
            <w:vAlign w:val="top"/>
          </w:tcPr>
          <w:p w14:paraId="00088743">
            <w:pPr>
              <w:jc w:val="both"/>
              <w:rPr>
                <w:rFonts w:hint="eastAsia" w:ascii="宋体" w:hAnsi="宋体" w:eastAsia="宋体" w:cs="宋体"/>
                <w:color w:val="000000"/>
                <w:sz w:val="24"/>
                <w:szCs w:val="24"/>
                <w:lang w:val="en-US" w:eastAsia="zh-CN"/>
              </w:rPr>
            </w:pPr>
            <w:r>
              <w:rPr>
                <w:rFonts w:hint="eastAsia" w:ascii="宋体" w:hAnsi="宋体" w:cs="宋体"/>
                <w:color w:val="000000"/>
                <w:sz w:val="24"/>
                <w:szCs w:val="24"/>
                <w:lang w:val="en-US" w:eastAsia="zh-CN"/>
              </w:rPr>
              <w:t>账号</w:t>
            </w:r>
          </w:p>
        </w:tc>
        <w:tc>
          <w:tcPr>
            <w:tcW w:w="3818" w:type="dxa"/>
            <w:tcMar>
              <w:top w:w="0" w:type="dxa"/>
              <w:left w:w="108" w:type="dxa"/>
              <w:bottom w:w="10" w:type="dxa"/>
              <w:right w:w="118" w:type="dxa"/>
            </w:tcMar>
            <w:vAlign w:val="top"/>
          </w:tcPr>
          <w:p w14:paraId="2B1BBE87">
            <w:pPr>
              <w:jc w:val="both"/>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开户行</w:t>
            </w:r>
          </w:p>
        </w:tc>
      </w:tr>
      <w:tr w14:paraId="2B7B4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590" w:type="dxa"/>
            <w:tcMar>
              <w:top w:w="0" w:type="dxa"/>
              <w:left w:w="118" w:type="dxa"/>
              <w:bottom w:w="10" w:type="dxa"/>
              <w:right w:w="118" w:type="dxa"/>
            </w:tcMar>
          </w:tcPr>
          <w:p w14:paraId="6F1F4DDF">
            <w:pPr>
              <w:rPr>
                <w:rFonts w:hint="eastAsia" w:ascii="宋体" w:hAnsi="宋体" w:eastAsia="宋体" w:cs="宋体"/>
                <w:color w:val="000000"/>
                <w:sz w:val="24"/>
                <w:szCs w:val="24"/>
                <w:lang w:val="en-US" w:eastAsia="zh-CN"/>
              </w:rPr>
            </w:pPr>
            <w:r>
              <w:rPr>
                <w:rFonts w:hint="eastAsia" w:ascii="宋体" w:hAnsi="宋体" w:cs="宋体"/>
                <w:color w:val="000000"/>
                <w:sz w:val="24"/>
                <w:szCs w:val="24"/>
                <w:lang w:val="en-US" w:eastAsia="zh-CN"/>
              </w:rPr>
              <w:t>托管账户</w:t>
            </w:r>
          </w:p>
        </w:tc>
        <w:tc>
          <w:tcPr>
            <w:tcW w:w="1838" w:type="dxa"/>
            <w:tcMar>
              <w:top w:w="0" w:type="dxa"/>
              <w:left w:w="108" w:type="dxa"/>
              <w:bottom w:w="10" w:type="dxa"/>
              <w:right w:w="118" w:type="dxa"/>
            </w:tcMar>
            <w:vAlign w:val="center"/>
          </w:tcPr>
          <w:p w14:paraId="2B00156A">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r>
              <w:rPr>
                <w:rStyle w:val="53"/>
                <w:sz w:val="24"/>
                <w:szCs w:val="24"/>
                <w:lang w:val="en-US" w:eastAsia="zh-CN" w:bidi="ar"/>
              </w:rPr>
              <w:t>齐鲁银行股份有限公司泉心盈35天</w:t>
            </w:r>
          </w:p>
        </w:tc>
        <w:tc>
          <w:tcPr>
            <w:tcW w:w="1734" w:type="dxa"/>
            <w:tcMar>
              <w:top w:w="0" w:type="dxa"/>
              <w:left w:w="108" w:type="dxa"/>
              <w:bottom w:w="10" w:type="dxa"/>
              <w:right w:w="118" w:type="dxa"/>
            </w:tcMar>
            <w:vAlign w:val="center"/>
          </w:tcPr>
          <w:p w14:paraId="4D67ED3A">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531902382310108</w:t>
            </w:r>
          </w:p>
        </w:tc>
        <w:tc>
          <w:tcPr>
            <w:tcW w:w="3818" w:type="dxa"/>
            <w:tcMar>
              <w:top w:w="0" w:type="dxa"/>
              <w:left w:w="108" w:type="dxa"/>
              <w:bottom w:w="10" w:type="dxa"/>
              <w:right w:w="118" w:type="dxa"/>
            </w:tcMar>
            <w:vAlign w:val="center"/>
          </w:tcPr>
          <w:p w14:paraId="71A7B1BD">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招商银行济南分行营业部</w:t>
            </w:r>
          </w:p>
        </w:tc>
      </w:tr>
    </w:tbl>
    <w:p w14:paraId="029DA847">
      <w:pPr>
        <w:spacing w:line="360" w:lineRule="auto"/>
        <w:rPr>
          <w:rFonts w:hint="default" w:ascii="宋体" w:hAnsi="宋体" w:cs="宋体"/>
          <w:color w:val="000000"/>
          <w:sz w:val="24"/>
          <w:szCs w:val="24"/>
          <w:lang w:val="en-US" w:eastAsia="zh-CN"/>
        </w:rPr>
      </w:pPr>
    </w:p>
    <w:p w14:paraId="0B9B8FA8">
      <w:pPr>
        <w:spacing w:line="360" w:lineRule="auto"/>
        <w:rPr>
          <w:rFonts w:ascii="宋体" w:hAnsi="宋体" w:cs="宋体"/>
          <w:color w:val="000000"/>
          <w:sz w:val="24"/>
          <w:szCs w:val="24"/>
        </w:rPr>
      </w:pPr>
    </w:p>
    <w:p w14:paraId="32C2C742">
      <w:pPr>
        <w:jc w:val="center"/>
        <w:rPr>
          <w:rFonts w:ascii="宋体" w:hAnsi="宋体"/>
          <w:bCs/>
          <w:sz w:val="33"/>
          <w:szCs w:val="33"/>
        </w:rPr>
      </w:pPr>
      <w:r>
        <w:rPr>
          <w:rFonts w:hint="eastAsia" w:ascii="宋体" w:hAnsi="宋体"/>
          <w:bCs/>
          <w:sz w:val="33"/>
          <w:szCs w:val="33"/>
        </w:rPr>
        <w:t>5  托管人报告</w:t>
      </w:r>
    </w:p>
    <w:p w14:paraId="1AE93D7A">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5.1托管人履职情况</w:t>
      </w:r>
    </w:p>
    <w:p w14:paraId="472D3331">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5.1.1托管资产保管</w:t>
      </w:r>
    </w:p>
    <w:p w14:paraId="75043FF5">
      <w:pPr>
        <w:spacing w:line="360" w:lineRule="auto"/>
        <w:ind w:firstLine="480" w:firstLineChars="200"/>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676FE3D2">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5.1.2会计核算和估值</w:t>
      </w:r>
    </w:p>
    <w:p w14:paraId="4D7ECCDC">
      <w:pPr>
        <w:spacing w:line="360" w:lineRule="auto"/>
        <w:ind w:firstLine="480" w:firstLineChars="200"/>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招商银行按照与齐鲁银行股份有限公司在托管协议中约定的统一记账方法和会计处理原则，独立地设置、登录和保管本产品的全套账册，进行会计核算和资产估值。</w:t>
      </w:r>
    </w:p>
    <w:p w14:paraId="0A01CD17">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5.1.3定期核对有关数据</w:t>
      </w:r>
    </w:p>
    <w:p w14:paraId="391DFF8E">
      <w:pPr>
        <w:spacing w:line="360" w:lineRule="auto"/>
        <w:ind w:firstLine="480" w:firstLineChars="200"/>
        <w:rPr>
          <w:rFonts w:hint="eastAsia"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招商银行根据托管协议约定与齐鲁银行股份有限公司或外包机构定期进行账务核对。</w:t>
      </w:r>
    </w:p>
    <w:p w14:paraId="0B0436B8">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5.1.4投资监督</w:t>
      </w:r>
    </w:p>
    <w:p w14:paraId="55112727">
      <w:pPr>
        <w:spacing w:line="360" w:lineRule="auto"/>
        <w:ind w:firstLine="480" w:firstLineChars="200"/>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招商银行根据法规、托管协议以及双方约定的投资监督条款，对投资运作情况进行监督。</w:t>
      </w:r>
    </w:p>
    <w:p w14:paraId="07600F5B">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5.2托管人声明</w:t>
      </w:r>
    </w:p>
    <w:p w14:paraId="0D550117">
      <w:pPr>
        <w:spacing w:line="360" w:lineRule="auto"/>
        <w:ind w:firstLine="480" w:firstLineChars="200"/>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托管人声明：招商银行具备完善的公司治理结构、内部稽核监控制度和风险控制制度，我行在齐鲁银行股份有限公司“泉心理财”</w:t>
      </w:r>
      <w:r>
        <w:rPr>
          <w:rFonts w:hint="eastAsia" w:ascii="宋体" w:hAnsi="宋体" w:cs="宋体"/>
          <w:color w:val="000000"/>
          <w:kern w:val="2"/>
          <w:sz w:val="24"/>
          <w:szCs w:val="24"/>
        </w:rPr>
        <w:t>泉心盈35天</w:t>
      </w:r>
      <w:r>
        <w:rPr>
          <w:rFonts w:hint="eastAsia" w:ascii="宋体" w:hAnsi="宋体" w:cs="宋体"/>
          <w:color w:val="000000"/>
          <w:sz w:val="24"/>
          <w:szCs w:val="24"/>
          <w:highlight w:val="none"/>
          <w:lang w:val="en-US" w:eastAsia="zh-CN"/>
        </w:rPr>
        <w:t>托管的过程中，严格遵守有关法律法规、托管协议的规定，尽职尽责地履行托管义务并安全保管托管资产。</w:t>
      </w:r>
    </w:p>
    <w:p w14:paraId="3E811086">
      <w:pPr>
        <w:spacing w:line="360" w:lineRule="auto"/>
        <w:ind w:firstLine="420"/>
        <w:rPr>
          <w:rFonts w:ascii="宋体" w:hAnsi="宋体" w:cs="宋体"/>
          <w:color w:val="000000"/>
          <w:sz w:val="24"/>
          <w:szCs w:val="24"/>
        </w:rPr>
      </w:pPr>
    </w:p>
    <w:p w14:paraId="49C0C689">
      <w:pPr>
        <w:spacing w:line="360" w:lineRule="auto"/>
        <w:ind w:firstLine="420"/>
        <w:rPr>
          <w:rFonts w:eastAsia="Times New Roman"/>
        </w:rPr>
      </w:pPr>
      <w:r>
        <w:rPr>
          <w:rFonts w:ascii="Calibri" w:hAnsi="Calibri" w:eastAsia="Calibri" w:cs="Calibri"/>
          <w:szCs w:val="21"/>
        </w:rPr>
        <w:t> </w:t>
      </w:r>
    </w:p>
    <w:p w14:paraId="2BA41FA0">
      <w:pPr>
        <w:jc w:val="right"/>
        <w:rPr>
          <w:rFonts w:ascii="宋体" w:hAnsi="宋体" w:cs="宋体"/>
          <w:color w:val="000000"/>
          <w:sz w:val="24"/>
          <w:szCs w:val="24"/>
        </w:rPr>
      </w:pPr>
      <w:r>
        <w:rPr>
          <w:rFonts w:hint="eastAsia" w:ascii="宋体" w:hAnsi="宋体" w:cs="宋体"/>
          <w:color w:val="000000"/>
          <w:sz w:val="24"/>
          <w:szCs w:val="24"/>
        </w:rPr>
        <w:t>齐鲁银行股份有限公司</w:t>
      </w:r>
    </w:p>
    <w:p w14:paraId="2CA1A13F">
      <w:pPr>
        <w:ind w:firstLine="400"/>
        <w:jc w:val="right"/>
        <w:rPr>
          <w:rFonts w:ascii="宋体" w:hAnsi="宋体" w:cs="宋体"/>
          <w:color w:val="000000"/>
          <w:sz w:val="24"/>
          <w:szCs w:val="24"/>
        </w:rPr>
      </w:pPr>
      <w:r>
        <w:rPr>
          <w:rFonts w:hint="eastAsia" w:ascii="宋体" w:hAnsi="宋体" w:cs="宋体"/>
          <w:color w:val="000000"/>
          <w:sz w:val="24"/>
          <w:szCs w:val="24"/>
        </w:rPr>
        <w:t>2026-08-29</w:t>
      </w:r>
    </w:p>
    <w:p w14:paraId="47DDB744">
      <w:pPr>
        <w:jc w:val="right"/>
        <w:rPr>
          <w:rFonts w:ascii="宋体" w:hAnsi="宋体"/>
          <w:sz w:val="28"/>
          <w:szCs w:val="28"/>
        </w:rPr>
      </w:pP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98AE0A">
    <w:pPr>
      <w:pStyle w:val="10"/>
      <w:framePr w:wrap="around" w:vAnchor="text" w:hAnchor="margin" w:xAlign="right" w:y="1"/>
      <w:rPr>
        <w:rStyle w:val="20"/>
      </w:rPr>
    </w:pPr>
    <w:r>
      <w:rPr>
        <w:rStyle w:val="20"/>
        <w:rFonts w:hint="eastAsia"/>
      </w:rPr>
      <w:t xml:space="preserve"> </w:t>
    </w:r>
  </w:p>
  <w:p w14:paraId="36E5FB5E">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3E5544">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08788D0F">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305A"/>
    <w:rsid w:val="00035197"/>
    <w:rsid w:val="00036749"/>
    <w:rsid w:val="00036CDC"/>
    <w:rsid w:val="0003799B"/>
    <w:rsid w:val="00047F36"/>
    <w:rsid w:val="00055BE3"/>
    <w:rsid w:val="0006004E"/>
    <w:rsid w:val="0006022E"/>
    <w:rsid w:val="00062D58"/>
    <w:rsid w:val="000666E4"/>
    <w:rsid w:val="000739FE"/>
    <w:rsid w:val="00074396"/>
    <w:rsid w:val="000745C5"/>
    <w:rsid w:val="00074778"/>
    <w:rsid w:val="000811DB"/>
    <w:rsid w:val="00081814"/>
    <w:rsid w:val="000825A8"/>
    <w:rsid w:val="000825DB"/>
    <w:rsid w:val="00083139"/>
    <w:rsid w:val="00084444"/>
    <w:rsid w:val="000954BC"/>
    <w:rsid w:val="000957D7"/>
    <w:rsid w:val="00096252"/>
    <w:rsid w:val="000A0247"/>
    <w:rsid w:val="000A1C35"/>
    <w:rsid w:val="000B049B"/>
    <w:rsid w:val="000B12F7"/>
    <w:rsid w:val="000B65EC"/>
    <w:rsid w:val="000C01AC"/>
    <w:rsid w:val="000C0357"/>
    <w:rsid w:val="000C5B47"/>
    <w:rsid w:val="000D078C"/>
    <w:rsid w:val="000D4CEA"/>
    <w:rsid w:val="000D5DDE"/>
    <w:rsid w:val="000E103E"/>
    <w:rsid w:val="000E2280"/>
    <w:rsid w:val="000E5BF4"/>
    <w:rsid w:val="000E7303"/>
    <w:rsid w:val="000E7594"/>
    <w:rsid w:val="000E76D1"/>
    <w:rsid w:val="000E7EE4"/>
    <w:rsid w:val="000F1CA3"/>
    <w:rsid w:val="000F1EB8"/>
    <w:rsid w:val="000F79B4"/>
    <w:rsid w:val="00123DCF"/>
    <w:rsid w:val="001241D2"/>
    <w:rsid w:val="00127EE5"/>
    <w:rsid w:val="00130058"/>
    <w:rsid w:val="001304CE"/>
    <w:rsid w:val="00130B97"/>
    <w:rsid w:val="001318F5"/>
    <w:rsid w:val="00131F63"/>
    <w:rsid w:val="001321D3"/>
    <w:rsid w:val="001367E6"/>
    <w:rsid w:val="0013763A"/>
    <w:rsid w:val="00137F13"/>
    <w:rsid w:val="00140432"/>
    <w:rsid w:val="00142BF7"/>
    <w:rsid w:val="001431D2"/>
    <w:rsid w:val="001438D5"/>
    <w:rsid w:val="001505C2"/>
    <w:rsid w:val="0015110C"/>
    <w:rsid w:val="0015418C"/>
    <w:rsid w:val="001546E3"/>
    <w:rsid w:val="00156CE7"/>
    <w:rsid w:val="001634F8"/>
    <w:rsid w:val="00172A27"/>
    <w:rsid w:val="00175535"/>
    <w:rsid w:val="00176115"/>
    <w:rsid w:val="0019201F"/>
    <w:rsid w:val="00193F23"/>
    <w:rsid w:val="00196688"/>
    <w:rsid w:val="001A6A60"/>
    <w:rsid w:val="001A6DCE"/>
    <w:rsid w:val="001B0D81"/>
    <w:rsid w:val="001B2258"/>
    <w:rsid w:val="001B3575"/>
    <w:rsid w:val="001B43F0"/>
    <w:rsid w:val="001B6489"/>
    <w:rsid w:val="001C4ACD"/>
    <w:rsid w:val="001C5999"/>
    <w:rsid w:val="001D364E"/>
    <w:rsid w:val="001D61DA"/>
    <w:rsid w:val="001E1A37"/>
    <w:rsid w:val="001E27AF"/>
    <w:rsid w:val="001E2A08"/>
    <w:rsid w:val="001E4B7A"/>
    <w:rsid w:val="001E5E17"/>
    <w:rsid w:val="001E7354"/>
    <w:rsid w:val="001E7E3E"/>
    <w:rsid w:val="001F28F0"/>
    <w:rsid w:val="001F4ADC"/>
    <w:rsid w:val="001F5BAE"/>
    <w:rsid w:val="001F7D68"/>
    <w:rsid w:val="00203B47"/>
    <w:rsid w:val="00203F6A"/>
    <w:rsid w:val="00210223"/>
    <w:rsid w:val="0021036E"/>
    <w:rsid w:val="00212735"/>
    <w:rsid w:val="00212AC6"/>
    <w:rsid w:val="00217B81"/>
    <w:rsid w:val="00222DFB"/>
    <w:rsid w:val="00226962"/>
    <w:rsid w:val="00226D1D"/>
    <w:rsid w:val="00226FB5"/>
    <w:rsid w:val="00227C89"/>
    <w:rsid w:val="0024340D"/>
    <w:rsid w:val="00246E06"/>
    <w:rsid w:val="002520E6"/>
    <w:rsid w:val="00254241"/>
    <w:rsid w:val="002543ED"/>
    <w:rsid w:val="002550F8"/>
    <w:rsid w:val="00256F99"/>
    <w:rsid w:val="00261703"/>
    <w:rsid w:val="00265F21"/>
    <w:rsid w:val="002709E9"/>
    <w:rsid w:val="00280418"/>
    <w:rsid w:val="00285198"/>
    <w:rsid w:val="0028673C"/>
    <w:rsid w:val="00291837"/>
    <w:rsid w:val="00293CED"/>
    <w:rsid w:val="002A1060"/>
    <w:rsid w:val="002A6967"/>
    <w:rsid w:val="002B18D0"/>
    <w:rsid w:val="002B1BF7"/>
    <w:rsid w:val="002B2425"/>
    <w:rsid w:val="002B5C75"/>
    <w:rsid w:val="002B6AB0"/>
    <w:rsid w:val="002B6D92"/>
    <w:rsid w:val="002C0D52"/>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70E3"/>
    <w:rsid w:val="003217E4"/>
    <w:rsid w:val="003245FC"/>
    <w:rsid w:val="003350C8"/>
    <w:rsid w:val="00336953"/>
    <w:rsid w:val="0034174F"/>
    <w:rsid w:val="00347E59"/>
    <w:rsid w:val="0035009E"/>
    <w:rsid w:val="00351099"/>
    <w:rsid w:val="00352648"/>
    <w:rsid w:val="00352670"/>
    <w:rsid w:val="00353071"/>
    <w:rsid w:val="0035379B"/>
    <w:rsid w:val="003545C4"/>
    <w:rsid w:val="00354AB0"/>
    <w:rsid w:val="00355F58"/>
    <w:rsid w:val="00362921"/>
    <w:rsid w:val="003629D6"/>
    <w:rsid w:val="0036621F"/>
    <w:rsid w:val="00370236"/>
    <w:rsid w:val="00370D1C"/>
    <w:rsid w:val="0037107A"/>
    <w:rsid w:val="0037163C"/>
    <w:rsid w:val="00372961"/>
    <w:rsid w:val="00373861"/>
    <w:rsid w:val="0037574C"/>
    <w:rsid w:val="00380B72"/>
    <w:rsid w:val="00385970"/>
    <w:rsid w:val="00386B5A"/>
    <w:rsid w:val="00391B1F"/>
    <w:rsid w:val="00392524"/>
    <w:rsid w:val="0039364C"/>
    <w:rsid w:val="00393CB1"/>
    <w:rsid w:val="003942F4"/>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64C"/>
    <w:rsid w:val="0041580B"/>
    <w:rsid w:val="00415C27"/>
    <w:rsid w:val="00415F33"/>
    <w:rsid w:val="004169FD"/>
    <w:rsid w:val="00420876"/>
    <w:rsid w:val="0042283D"/>
    <w:rsid w:val="00422CED"/>
    <w:rsid w:val="004332EF"/>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B6EF6"/>
    <w:rsid w:val="004C126D"/>
    <w:rsid w:val="004C2C74"/>
    <w:rsid w:val="004C439A"/>
    <w:rsid w:val="004C56A8"/>
    <w:rsid w:val="004C689C"/>
    <w:rsid w:val="004D2B6B"/>
    <w:rsid w:val="004D2D2A"/>
    <w:rsid w:val="004E2CFE"/>
    <w:rsid w:val="004E344E"/>
    <w:rsid w:val="004E4E80"/>
    <w:rsid w:val="004E53DD"/>
    <w:rsid w:val="004F50D0"/>
    <w:rsid w:val="004F55AB"/>
    <w:rsid w:val="004F5803"/>
    <w:rsid w:val="004F64A1"/>
    <w:rsid w:val="00500777"/>
    <w:rsid w:val="00501D92"/>
    <w:rsid w:val="00503B75"/>
    <w:rsid w:val="005066A6"/>
    <w:rsid w:val="00511DB9"/>
    <w:rsid w:val="00513688"/>
    <w:rsid w:val="00513763"/>
    <w:rsid w:val="005231F4"/>
    <w:rsid w:val="00524996"/>
    <w:rsid w:val="00524F71"/>
    <w:rsid w:val="00527A49"/>
    <w:rsid w:val="005310A6"/>
    <w:rsid w:val="0053595B"/>
    <w:rsid w:val="00537901"/>
    <w:rsid w:val="00540DE6"/>
    <w:rsid w:val="00542A91"/>
    <w:rsid w:val="0054387B"/>
    <w:rsid w:val="005465B6"/>
    <w:rsid w:val="00554065"/>
    <w:rsid w:val="00555D8D"/>
    <w:rsid w:val="00556DA2"/>
    <w:rsid w:val="00560EAF"/>
    <w:rsid w:val="00572059"/>
    <w:rsid w:val="00573E83"/>
    <w:rsid w:val="00575762"/>
    <w:rsid w:val="005775FA"/>
    <w:rsid w:val="00583550"/>
    <w:rsid w:val="00591622"/>
    <w:rsid w:val="005947ED"/>
    <w:rsid w:val="00596277"/>
    <w:rsid w:val="00596803"/>
    <w:rsid w:val="005A6657"/>
    <w:rsid w:val="005B0572"/>
    <w:rsid w:val="005B19E8"/>
    <w:rsid w:val="005B6C71"/>
    <w:rsid w:val="005B7EF7"/>
    <w:rsid w:val="005C208D"/>
    <w:rsid w:val="005C6300"/>
    <w:rsid w:val="005D0C97"/>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27DC0"/>
    <w:rsid w:val="00632039"/>
    <w:rsid w:val="00641758"/>
    <w:rsid w:val="00643676"/>
    <w:rsid w:val="006436D6"/>
    <w:rsid w:val="006458E3"/>
    <w:rsid w:val="006464AD"/>
    <w:rsid w:val="00647545"/>
    <w:rsid w:val="00647AB1"/>
    <w:rsid w:val="00655059"/>
    <w:rsid w:val="00660553"/>
    <w:rsid w:val="00663245"/>
    <w:rsid w:val="00663DE1"/>
    <w:rsid w:val="00664C86"/>
    <w:rsid w:val="00665902"/>
    <w:rsid w:val="006664D5"/>
    <w:rsid w:val="00667447"/>
    <w:rsid w:val="0067267E"/>
    <w:rsid w:val="00675178"/>
    <w:rsid w:val="006761C2"/>
    <w:rsid w:val="006771FF"/>
    <w:rsid w:val="00682943"/>
    <w:rsid w:val="00683D3B"/>
    <w:rsid w:val="006876F4"/>
    <w:rsid w:val="00692A30"/>
    <w:rsid w:val="00693EF1"/>
    <w:rsid w:val="00697DB7"/>
    <w:rsid w:val="006A2BA8"/>
    <w:rsid w:val="006A307A"/>
    <w:rsid w:val="006B0B91"/>
    <w:rsid w:val="006B24E7"/>
    <w:rsid w:val="006B554E"/>
    <w:rsid w:val="006B5B87"/>
    <w:rsid w:val="006B77BE"/>
    <w:rsid w:val="006C21A8"/>
    <w:rsid w:val="006C49D3"/>
    <w:rsid w:val="006C71D5"/>
    <w:rsid w:val="006C742E"/>
    <w:rsid w:val="006D4D97"/>
    <w:rsid w:val="006D78DE"/>
    <w:rsid w:val="006E2B12"/>
    <w:rsid w:val="006E3BE7"/>
    <w:rsid w:val="006E5986"/>
    <w:rsid w:val="006E5F79"/>
    <w:rsid w:val="006E6073"/>
    <w:rsid w:val="006E72DC"/>
    <w:rsid w:val="006E7D51"/>
    <w:rsid w:val="006F01F5"/>
    <w:rsid w:val="006F05AC"/>
    <w:rsid w:val="006F1E99"/>
    <w:rsid w:val="006F26FB"/>
    <w:rsid w:val="006F2A9A"/>
    <w:rsid w:val="006F33DF"/>
    <w:rsid w:val="006F3BCC"/>
    <w:rsid w:val="00710F9C"/>
    <w:rsid w:val="00711860"/>
    <w:rsid w:val="00714D1B"/>
    <w:rsid w:val="00717029"/>
    <w:rsid w:val="00720312"/>
    <w:rsid w:val="0072202C"/>
    <w:rsid w:val="0072288E"/>
    <w:rsid w:val="00727121"/>
    <w:rsid w:val="00730BF8"/>
    <w:rsid w:val="007313AE"/>
    <w:rsid w:val="0073667E"/>
    <w:rsid w:val="00740012"/>
    <w:rsid w:val="00741F34"/>
    <w:rsid w:val="00745B3A"/>
    <w:rsid w:val="0074780F"/>
    <w:rsid w:val="007502BB"/>
    <w:rsid w:val="007520B7"/>
    <w:rsid w:val="00752D2E"/>
    <w:rsid w:val="007539EE"/>
    <w:rsid w:val="00756CFF"/>
    <w:rsid w:val="00762F4A"/>
    <w:rsid w:val="007633CA"/>
    <w:rsid w:val="007663F0"/>
    <w:rsid w:val="00773DEB"/>
    <w:rsid w:val="00774DB3"/>
    <w:rsid w:val="00777511"/>
    <w:rsid w:val="00782BD3"/>
    <w:rsid w:val="00783A2D"/>
    <w:rsid w:val="0078701B"/>
    <w:rsid w:val="0079003D"/>
    <w:rsid w:val="00790F54"/>
    <w:rsid w:val="0079349C"/>
    <w:rsid w:val="007957D3"/>
    <w:rsid w:val="007A41FE"/>
    <w:rsid w:val="007A4FF1"/>
    <w:rsid w:val="007A5C4C"/>
    <w:rsid w:val="007A6008"/>
    <w:rsid w:val="007A66E8"/>
    <w:rsid w:val="007A67A8"/>
    <w:rsid w:val="007A6D6E"/>
    <w:rsid w:val="007B3FDF"/>
    <w:rsid w:val="007C00B5"/>
    <w:rsid w:val="007C271F"/>
    <w:rsid w:val="007D4695"/>
    <w:rsid w:val="007D5F69"/>
    <w:rsid w:val="007D7D2D"/>
    <w:rsid w:val="007E22BB"/>
    <w:rsid w:val="007E24A8"/>
    <w:rsid w:val="007E6BBB"/>
    <w:rsid w:val="007F261A"/>
    <w:rsid w:val="007F4389"/>
    <w:rsid w:val="0080135F"/>
    <w:rsid w:val="00802F9D"/>
    <w:rsid w:val="00805841"/>
    <w:rsid w:val="008067E9"/>
    <w:rsid w:val="008138C2"/>
    <w:rsid w:val="008207FC"/>
    <w:rsid w:val="00824A1A"/>
    <w:rsid w:val="0082723D"/>
    <w:rsid w:val="00830FB1"/>
    <w:rsid w:val="008318D4"/>
    <w:rsid w:val="00835C56"/>
    <w:rsid w:val="00835F60"/>
    <w:rsid w:val="0083628C"/>
    <w:rsid w:val="00840509"/>
    <w:rsid w:val="00840E2A"/>
    <w:rsid w:val="00841B85"/>
    <w:rsid w:val="0084484A"/>
    <w:rsid w:val="00845EAD"/>
    <w:rsid w:val="008466A5"/>
    <w:rsid w:val="008509BD"/>
    <w:rsid w:val="008518FE"/>
    <w:rsid w:val="008631C4"/>
    <w:rsid w:val="00863246"/>
    <w:rsid w:val="008647E2"/>
    <w:rsid w:val="00865A3B"/>
    <w:rsid w:val="00867C1C"/>
    <w:rsid w:val="0087458E"/>
    <w:rsid w:val="00874F4C"/>
    <w:rsid w:val="00877005"/>
    <w:rsid w:val="0088112D"/>
    <w:rsid w:val="008816D8"/>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0656"/>
    <w:rsid w:val="00902772"/>
    <w:rsid w:val="00903665"/>
    <w:rsid w:val="0090419E"/>
    <w:rsid w:val="00904C28"/>
    <w:rsid w:val="009053AC"/>
    <w:rsid w:val="00910979"/>
    <w:rsid w:val="00913FA1"/>
    <w:rsid w:val="00916263"/>
    <w:rsid w:val="00916B1E"/>
    <w:rsid w:val="00916CF7"/>
    <w:rsid w:val="00916F72"/>
    <w:rsid w:val="009200D9"/>
    <w:rsid w:val="00924290"/>
    <w:rsid w:val="0093136C"/>
    <w:rsid w:val="00932C76"/>
    <w:rsid w:val="00932DEA"/>
    <w:rsid w:val="009361E0"/>
    <w:rsid w:val="00940851"/>
    <w:rsid w:val="00950E79"/>
    <w:rsid w:val="00953DC8"/>
    <w:rsid w:val="009541DC"/>
    <w:rsid w:val="00954DED"/>
    <w:rsid w:val="00957FBC"/>
    <w:rsid w:val="0096288A"/>
    <w:rsid w:val="0096360D"/>
    <w:rsid w:val="00963665"/>
    <w:rsid w:val="009647CE"/>
    <w:rsid w:val="00964DCE"/>
    <w:rsid w:val="009661C0"/>
    <w:rsid w:val="009713B5"/>
    <w:rsid w:val="009762AB"/>
    <w:rsid w:val="0097695A"/>
    <w:rsid w:val="00982515"/>
    <w:rsid w:val="00985C6F"/>
    <w:rsid w:val="00987DA5"/>
    <w:rsid w:val="00996119"/>
    <w:rsid w:val="009A10CD"/>
    <w:rsid w:val="009A7588"/>
    <w:rsid w:val="009B1BE6"/>
    <w:rsid w:val="009B2215"/>
    <w:rsid w:val="009B3F2A"/>
    <w:rsid w:val="009B493D"/>
    <w:rsid w:val="009B6017"/>
    <w:rsid w:val="009B77A4"/>
    <w:rsid w:val="009B7B34"/>
    <w:rsid w:val="009C02EB"/>
    <w:rsid w:val="009C263C"/>
    <w:rsid w:val="009C760C"/>
    <w:rsid w:val="009D22C9"/>
    <w:rsid w:val="009D59B1"/>
    <w:rsid w:val="009D6E38"/>
    <w:rsid w:val="009D7F30"/>
    <w:rsid w:val="009E7949"/>
    <w:rsid w:val="009F1173"/>
    <w:rsid w:val="009F2CE7"/>
    <w:rsid w:val="009F6300"/>
    <w:rsid w:val="00A02D2A"/>
    <w:rsid w:val="00A03DAA"/>
    <w:rsid w:val="00A053A7"/>
    <w:rsid w:val="00A07072"/>
    <w:rsid w:val="00A1398C"/>
    <w:rsid w:val="00A16209"/>
    <w:rsid w:val="00A179D8"/>
    <w:rsid w:val="00A17F78"/>
    <w:rsid w:val="00A217B1"/>
    <w:rsid w:val="00A226D6"/>
    <w:rsid w:val="00A326C7"/>
    <w:rsid w:val="00A34E4F"/>
    <w:rsid w:val="00A36005"/>
    <w:rsid w:val="00A36F6E"/>
    <w:rsid w:val="00A40FDD"/>
    <w:rsid w:val="00A43B1A"/>
    <w:rsid w:val="00A476E2"/>
    <w:rsid w:val="00A52E27"/>
    <w:rsid w:val="00A66B88"/>
    <w:rsid w:val="00A7059A"/>
    <w:rsid w:val="00A73CCB"/>
    <w:rsid w:val="00A754BF"/>
    <w:rsid w:val="00A80900"/>
    <w:rsid w:val="00A9256F"/>
    <w:rsid w:val="00A94073"/>
    <w:rsid w:val="00A95724"/>
    <w:rsid w:val="00A97609"/>
    <w:rsid w:val="00AA0964"/>
    <w:rsid w:val="00AA0D73"/>
    <w:rsid w:val="00AB0553"/>
    <w:rsid w:val="00AB7F1E"/>
    <w:rsid w:val="00AC0253"/>
    <w:rsid w:val="00AC760B"/>
    <w:rsid w:val="00AD0E90"/>
    <w:rsid w:val="00AD267E"/>
    <w:rsid w:val="00AD5950"/>
    <w:rsid w:val="00AE7B09"/>
    <w:rsid w:val="00AF4B02"/>
    <w:rsid w:val="00AF5C38"/>
    <w:rsid w:val="00AF6371"/>
    <w:rsid w:val="00B01D6A"/>
    <w:rsid w:val="00B0308C"/>
    <w:rsid w:val="00B10E20"/>
    <w:rsid w:val="00B13755"/>
    <w:rsid w:val="00B14EDA"/>
    <w:rsid w:val="00B15B26"/>
    <w:rsid w:val="00B15EA7"/>
    <w:rsid w:val="00B218BF"/>
    <w:rsid w:val="00B273A3"/>
    <w:rsid w:val="00B27FD9"/>
    <w:rsid w:val="00B30A58"/>
    <w:rsid w:val="00B33E1B"/>
    <w:rsid w:val="00B343B8"/>
    <w:rsid w:val="00B347A3"/>
    <w:rsid w:val="00B35FBA"/>
    <w:rsid w:val="00B35FD4"/>
    <w:rsid w:val="00B40022"/>
    <w:rsid w:val="00B40969"/>
    <w:rsid w:val="00B4789A"/>
    <w:rsid w:val="00B51B53"/>
    <w:rsid w:val="00B527C6"/>
    <w:rsid w:val="00B63983"/>
    <w:rsid w:val="00B66459"/>
    <w:rsid w:val="00B7027A"/>
    <w:rsid w:val="00B719FD"/>
    <w:rsid w:val="00B71B7E"/>
    <w:rsid w:val="00B7384C"/>
    <w:rsid w:val="00B73D60"/>
    <w:rsid w:val="00B7675B"/>
    <w:rsid w:val="00B80918"/>
    <w:rsid w:val="00B81709"/>
    <w:rsid w:val="00B82529"/>
    <w:rsid w:val="00B82FD4"/>
    <w:rsid w:val="00B91227"/>
    <w:rsid w:val="00B9280A"/>
    <w:rsid w:val="00B94D4D"/>
    <w:rsid w:val="00B9576A"/>
    <w:rsid w:val="00B959E0"/>
    <w:rsid w:val="00B9605D"/>
    <w:rsid w:val="00B96F7F"/>
    <w:rsid w:val="00BA2FE9"/>
    <w:rsid w:val="00BB2C8E"/>
    <w:rsid w:val="00BB3836"/>
    <w:rsid w:val="00BC6F6D"/>
    <w:rsid w:val="00BC79AA"/>
    <w:rsid w:val="00BC7BE2"/>
    <w:rsid w:val="00BD01DA"/>
    <w:rsid w:val="00BD1DC0"/>
    <w:rsid w:val="00BE1D4B"/>
    <w:rsid w:val="00BE2BF0"/>
    <w:rsid w:val="00BE491C"/>
    <w:rsid w:val="00BE4F1C"/>
    <w:rsid w:val="00BE6F0A"/>
    <w:rsid w:val="00BE7278"/>
    <w:rsid w:val="00BF0CCC"/>
    <w:rsid w:val="00BF2E9E"/>
    <w:rsid w:val="00BF5021"/>
    <w:rsid w:val="00BF625D"/>
    <w:rsid w:val="00BF6960"/>
    <w:rsid w:val="00C00573"/>
    <w:rsid w:val="00C01D6D"/>
    <w:rsid w:val="00C0394B"/>
    <w:rsid w:val="00C101D8"/>
    <w:rsid w:val="00C15724"/>
    <w:rsid w:val="00C16678"/>
    <w:rsid w:val="00C21599"/>
    <w:rsid w:val="00C244B2"/>
    <w:rsid w:val="00C30868"/>
    <w:rsid w:val="00C32521"/>
    <w:rsid w:val="00C41372"/>
    <w:rsid w:val="00C41F00"/>
    <w:rsid w:val="00C41FD7"/>
    <w:rsid w:val="00C4406A"/>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A5"/>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271"/>
    <w:rsid w:val="00D06468"/>
    <w:rsid w:val="00D1017D"/>
    <w:rsid w:val="00D11282"/>
    <w:rsid w:val="00D11D55"/>
    <w:rsid w:val="00D14569"/>
    <w:rsid w:val="00D15AFB"/>
    <w:rsid w:val="00D15B0F"/>
    <w:rsid w:val="00D25096"/>
    <w:rsid w:val="00D2614B"/>
    <w:rsid w:val="00D3035E"/>
    <w:rsid w:val="00D30B4B"/>
    <w:rsid w:val="00D31FD3"/>
    <w:rsid w:val="00D3496C"/>
    <w:rsid w:val="00D35F7B"/>
    <w:rsid w:val="00D3643E"/>
    <w:rsid w:val="00D40841"/>
    <w:rsid w:val="00D411DB"/>
    <w:rsid w:val="00D452EA"/>
    <w:rsid w:val="00D54504"/>
    <w:rsid w:val="00D57ABE"/>
    <w:rsid w:val="00D60D0A"/>
    <w:rsid w:val="00D63034"/>
    <w:rsid w:val="00D664DF"/>
    <w:rsid w:val="00D679E8"/>
    <w:rsid w:val="00D72C48"/>
    <w:rsid w:val="00D7572D"/>
    <w:rsid w:val="00D76EC7"/>
    <w:rsid w:val="00D806F7"/>
    <w:rsid w:val="00D90E8B"/>
    <w:rsid w:val="00D964B6"/>
    <w:rsid w:val="00DA06CF"/>
    <w:rsid w:val="00DA2107"/>
    <w:rsid w:val="00DA482F"/>
    <w:rsid w:val="00DA4F8D"/>
    <w:rsid w:val="00DA567B"/>
    <w:rsid w:val="00DA700A"/>
    <w:rsid w:val="00DB10DE"/>
    <w:rsid w:val="00DC0BCD"/>
    <w:rsid w:val="00DC63EA"/>
    <w:rsid w:val="00DC7755"/>
    <w:rsid w:val="00DD0776"/>
    <w:rsid w:val="00DD2D10"/>
    <w:rsid w:val="00DD493A"/>
    <w:rsid w:val="00DE0BA7"/>
    <w:rsid w:val="00DF1B60"/>
    <w:rsid w:val="00DF64FE"/>
    <w:rsid w:val="00DF70DD"/>
    <w:rsid w:val="00E05CBD"/>
    <w:rsid w:val="00E133C1"/>
    <w:rsid w:val="00E13A22"/>
    <w:rsid w:val="00E16C03"/>
    <w:rsid w:val="00E22023"/>
    <w:rsid w:val="00E24F6C"/>
    <w:rsid w:val="00E25FBD"/>
    <w:rsid w:val="00E27C54"/>
    <w:rsid w:val="00E33DFC"/>
    <w:rsid w:val="00E36DC0"/>
    <w:rsid w:val="00E40C11"/>
    <w:rsid w:val="00E504F9"/>
    <w:rsid w:val="00E5307C"/>
    <w:rsid w:val="00E5314E"/>
    <w:rsid w:val="00E538A2"/>
    <w:rsid w:val="00E65FF2"/>
    <w:rsid w:val="00E67113"/>
    <w:rsid w:val="00E67390"/>
    <w:rsid w:val="00E732A5"/>
    <w:rsid w:val="00E757CD"/>
    <w:rsid w:val="00E76293"/>
    <w:rsid w:val="00E773EF"/>
    <w:rsid w:val="00E841D0"/>
    <w:rsid w:val="00E84CB6"/>
    <w:rsid w:val="00E8759A"/>
    <w:rsid w:val="00E915A7"/>
    <w:rsid w:val="00E9363B"/>
    <w:rsid w:val="00E966EE"/>
    <w:rsid w:val="00EA0D8E"/>
    <w:rsid w:val="00EA4ECB"/>
    <w:rsid w:val="00EA78F0"/>
    <w:rsid w:val="00EB0365"/>
    <w:rsid w:val="00EB1D83"/>
    <w:rsid w:val="00EB210F"/>
    <w:rsid w:val="00EB213D"/>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701"/>
    <w:rsid w:val="00F34D29"/>
    <w:rsid w:val="00F35C2C"/>
    <w:rsid w:val="00F36C13"/>
    <w:rsid w:val="00F43944"/>
    <w:rsid w:val="00F44F0C"/>
    <w:rsid w:val="00F45974"/>
    <w:rsid w:val="00F45EFD"/>
    <w:rsid w:val="00F51B8A"/>
    <w:rsid w:val="00F52438"/>
    <w:rsid w:val="00F53A4B"/>
    <w:rsid w:val="00F64D16"/>
    <w:rsid w:val="00F65B50"/>
    <w:rsid w:val="00F66D00"/>
    <w:rsid w:val="00F67B3D"/>
    <w:rsid w:val="00F733D2"/>
    <w:rsid w:val="00F87CF1"/>
    <w:rsid w:val="00F906DF"/>
    <w:rsid w:val="00F926DD"/>
    <w:rsid w:val="00F934DE"/>
    <w:rsid w:val="00F941F7"/>
    <w:rsid w:val="00F95832"/>
    <w:rsid w:val="00F9693E"/>
    <w:rsid w:val="00F973AF"/>
    <w:rsid w:val="00F9745A"/>
    <w:rsid w:val="00FA5CE9"/>
    <w:rsid w:val="00FA6695"/>
    <w:rsid w:val="00FA794C"/>
    <w:rsid w:val="00FB1A6C"/>
    <w:rsid w:val="00FB1C77"/>
    <w:rsid w:val="00FB3F6A"/>
    <w:rsid w:val="00FD2905"/>
    <w:rsid w:val="00FE1CEA"/>
    <w:rsid w:val="00FE3C8E"/>
    <w:rsid w:val="00FE3E86"/>
    <w:rsid w:val="00FE4490"/>
    <w:rsid w:val="00FE51F2"/>
    <w:rsid w:val="00FE52AD"/>
    <w:rsid w:val="00FE5547"/>
    <w:rsid w:val="00FF15E9"/>
    <w:rsid w:val="00FF6973"/>
    <w:rsid w:val="1B7772E4"/>
    <w:rsid w:val="2A0F0CCD"/>
    <w:rsid w:val="2DAF44B7"/>
    <w:rsid w:val="2DF56CD9"/>
    <w:rsid w:val="3F6778EF"/>
    <w:rsid w:val="46A87316"/>
    <w:rsid w:val="4746708A"/>
    <w:rsid w:val="4B3F260D"/>
    <w:rsid w:val="4F4E540D"/>
    <w:rsid w:val="51DD2CBB"/>
    <w:rsid w:val="541F3E53"/>
    <w:rsid w:val="59CF39D5"/>
    <w:rsid w:val="5E927177"/>
    <w:rsid w:val="63FA7DBC"/>
    <w:rsid w:val="6ACC0B2B"/>
    <w:rsid w:val="78A05E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字符"/>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字符"/>
    <w:link w:val="12"/>
    <w:qFormat/>
    <w:uiPriority w:val="0"/>
    <w:rPr>
      <w:rFonts w:ascii="Cambria" w:hAnsi="Cambria" w:eastAsia="宋体" w:cs="Times New Roman"/>
      <w:b/>
      <w:kern w:val="28"/>
      <w:sz w:val="24"/>
      <w:szCs w:val="32"/>
    </w:rPr>
  </w:style>
  <w:style w:type="character" w:customStyle="1" w:styleId="26">
    <w:name w:val="标题 1 字符"/>
    <w:link w:val="2"/>
    <w:qFormat/>
    <w:uiPriority w:val="9"/>
    <w:rPr>
      <w:b/>
      <w:bCs/>
      <w:kern w:val="44"/>
      <w:sz w:val="44"/>
      <w:szCs w:val="44"/>
    </w:rPr>
  </w:style>
  <w:style w:type="character" w:customStyle="1" w:styleId="27">
    <w:name w:val="标题 2 字符"/>
    <w:link w:val="3"/>
    <w:qFormat/>
    <w:uiPriority w:val="9"/>
    <w:rPr>
      <w:rFonts w:ascii="Cambria" w:hAnsi="Cambria" w:eastAsia="宋体" w:cs="Times New Roman"/>
      <w:b/>
      <w:bCs/>
      <w:sz w:val="32"/>
      <w:szCs w:val="32"/>
    </w:rPr>
  </w:style>
  <w:style w:type="character" w:customStyle="1" w:styleId="28">
    <w:name w:val="标题 字符"/>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字符"/>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字符"/>
    <w:link w:val="13"/>
    <w:qFormat/>
    <w:uiPriority w:val="0"/>
    <w:rPr>
      <w:kern w:val="2"/>
      <w:sz w:val="18"/>
      <w:szCs w:val="18"/>
    </w:rPr>
  </w:style>
  <w:style w:type="character" w:customStyle="1" w:styleId="48">
    <w:name w:val="日期 字符"/>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MsoNormal"/>
    <w:basedOn w:val="1"/>
    <w:qFormat/>
    <w:uiPriority w:val="0"/>
    <w:pPr>
      <w:widowControl/>
      <w:jc w:val="left"/>
    </w:pPr>
    <w:rPr>
      <w:kern w:val="0"/>
      <w:sz w:val="24"/>
      <w:szCs w:val="24"/>
    </w:rPr>
  </w:style>
  <w:style w:type="paragraph" w:customStyle="1" w:styleId="52">
    <w:name w:val="p"/>
    <w:basedOn w:val="1"/>
    <w:qFormat/>
    <w:uiPriority w:val="0"/>
    <w:pPr>
      <w:widowControl/>
      <w:jc w:val="left"/>
    </w:pPr>
    <w:rPr>
      <w:kern w:val="0"/>
      <w:sz w:val="24"/>
      <w:szCs w:val="24"/>
    </w:rPr>
  </w:style>
  <w:style w:type="character" w:customStyle="1" w:styleId="53">
    <w:name w:val="font11"/>
    <w:basedOn w:val="19"/>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A3438-05E5-4974-986F-B8135B59055B}">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6</Pages>
  <Words>393</Words>
  <Characters>2242</Characters>
  <Lines>18</Lines>
  <Paragraphs>5</Paragraphs>
  <TotalTime>0</TotalTime>
  <ScaleCrop>false</ScaleCrop>
  <LinksUpToDate>false</LinksUpToDate>
  <CharactersWithSpaces>2630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2020-01-07T12:08:00Z</dcterms:created>
  <dc:creator>yss</dc:creator>
  <cp:lastModifiedBy>董鲁豫</cp:lastModifiedBy>
  <cp:lastPrinted>2411-12-31T15:59:00Z</cp:lastPrinted>
  <dcterms:modified xsi:type="dcterms:W3CDTF">2026-07-14T07:28:03Z</dcterms:modified>
  <dc:title>gongGaoMingCheng</dc:title>
  <cp:revision>192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5051352593A9498BAB35C86981E42DFE</vt:lpwstr>
  </property>
</Properties>
</file>