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E62786A">
      <w:pPr>
        <w:rPr>
          <w:sz w:val="48"/>
        </w:rPr>
      </w:pPr>
    </w:p>
    <w:p w14:paraId="08B1AD93">
      <w:pPr>
        <w:rPr>
          <w:sz w:val="48"/>
        </w:rPr>
      </w:pPr>
    </w:p>
    <w:p w14:paraId="06660E6C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泉心盈182天净值型 </w:t>
      </w:r>
    </w:p>
    <w:p w14:paraId="08DDDD10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2026年半年度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 w14:paraId="26017ED2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36443EAB">
      <w:pPr>
        <w:jc w:val="center"/>
        <w:rPr>
          <w:rFonts w:ascii="宋体" w:hAnsi="宋体"/>
          <w:sz w:val="28"/>
          <w:szCs w:val="30"/>
        </w:rPr>
      </w:pPr>
    </w:p>
    <w:p w14:paraId="7A03F2BB">
      <w:pPr>
        <w:jc w:val="center"/>
        <w:rPr>
          <w:rFonts w:ascii="宋体" w:hAnsi="宋体"/>
          <w:sz w:val="28"/>
          <w:szCs w:val="30"/>
        </w:rPr>
      </w:pPr>
    </w:p>
    <w:p w14:paraId="32D71EE1">
      <w:pPr>
        <w:jc w:val="center"/>
        <w:rPr>
          <w:rFonts w:ascii="宋体" w:hAnsi="宋体"/>
          <w:sz w:val="28"/>
          <w:szCs w:val="30"/>
        </w:rPr>
      </w:pPr>
    </w:p>
    <w:p w14:paraId="32032049">
      <w:pPr>
        <w:jc w:val="center"/>
        <w:rPr>
          <w:rFonts w:ascii="宋体" w:hAnsi="宋体"/>
          <w:sz w:val="28"/>
          <w:szCs w:val="30"/>
        </w:rPr>
      </w:pPr>
    </w:p>
    <w:p w14:paraId="60754605">
      <w:pPr>
        <w:jc w:val="center"/>
        <w:rPr>
          <w:rFonts w:ascii="宋体" w:hAnsi="宋体"/>
          <w:sz w:val="28"/>
          <w:szCs w:val="30"/>
        </w:rPr>
      </w:pPr>
    </w:p>
    <w:p w14:paraId="2C0A30D7">
      <w:pPr>
        <w:jc w:val="center"/>
        <w:rPr>
          <w:rFonts w:ascii="宋体" w:hAnsi="宋体"/>
          <w:sz w:val="28"/>
          <w:szCs w:val="30"/>
        </w:rPr>
      </w:pPr>
    </w:p>
    <w:p w14:paraId="68E99991">
      <w:pPr>
        <w:jc w:val="center"/>
        <w:rPr>
          <w:rFonts w:ascii="宋体" w:hAnsi="宋体"/>
          <w:sz w:val="28"/>
          <w:szCs w:val="30"/>
        </w:rPr>
      </w:pPr>
    </w:p>
    <w:p w14:paraId="2E2DDD26">
      <w:pPr>
        <w:jc w:val="center"/>
        <w:rPr>
          <w:rFonts w:ascii="宋体" w:hAnsi="宋体"/>
          <w:sz w:val="28"/>
          <w:szCs w:val="30"/>
        </w:rPr>
      </w:pPr>
    </w:p>
    <w:p w14:paraId="4FC9D413">
      <w:pPr>
        <w:jc w:val="center"/>
        <w:rPr>
          <w:rFonts w:ascii="宋体" w:hAnsi="宋体"/>
          <w:sz w:val="28"/>
          <w:szCs w:val="30"/>
        </w:rPr>
      </w:pPr>
    </w:p>
    <w:p w14:paraId="7FB2CF43">
      <w:pPr>
        <w:jc w:val="center"/>
        <w:rPr>
          <w:rFonts w:ascii="宋体" w:hAnsi="宋体"/>
          <w:sz w:val="28"/>
          <w:szCs w:val="30"/>
        </w:rPr>
      </w:pPr>
    </w:p>
    <w:p w14:paraId="45B54B08">
      <w:pPr>
        <w:jc w:val="center"/>
        <w:rPr>
          <w:rFonts w:ascii="宋体" w:hAnsi="宋体"/>
          <w:sz w:val="28"/>
          <w:szCs w:val="30"/>
        </w:rPr>
      </w:pPr>
    </w:p>
    <w:p w14:paraId="4023E122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产品管理人：齐鲁银行股份有限公司</w:t>
      </w:r>
    </w:p>
    <w:p w14:paraId="081369E1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产品托管人：兴业银行股份有限公司</w:t>
      </w:r>
    </w:p>
    <w:p w14:paraId="640A984D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24D89C6F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23FDBA22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54217184">
      <w:pPr>
        <w:rPr>
          <w:rFonts w:ascii="宋体" w:hAnsi="宋体"/>
          <w:sz w:val="28"/>
          <w:szCs w:val="30"/>
        </w:rPr>
      </w:pPr>
    </w:p>
    <w:p w14:paraId="67950E08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4022CD73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重要提示</w:t>
      </w:r>
    </w:p>
    <w:p w14:paraId="4EA6F430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产品管理人的董事会及董事保证本报告所载资料不存在虚假记载、误导性陈述或重大遗漏，并对其内容的真实性、准确性和完整性承担个别及连带责任。</w:t>
      </w:r>
    </w:p>
    <w:p w14:paraId="42BB55EE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产品管理人承诺以诚实信用、勤勉尽责的原则管理和运用产品资产，但不保证产品一定盈利。　</w:t>
      </w:r>
    </w:p>
    <w:p w14:paraId="72BE8613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产品的过往业绩并不代表其未来表现。投资有风险，投资者在作出投资决策前应仔细阅读本产品的产品说明书。</w:t>
      </w:r>
    </w:p>
    <w:p w14:paraId="74474DF2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本报告中财务资料未经审计。</w:t>
      </w:r>
    </w:p>
    <w:p w14:paraId="274405FF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</w:t>
      </w:r>
      <w:r>
        <w:rPr>
          <w:rFonts w:ascii="宋体" w:hAnsi="宋体" w:cs="宋体"/>
          <w:color w:val="000000"/>
          <w:sz w:val="24"/>
          <w:szCs w:val="24"/>
        </w:rPr>
        <w:t>报告期</w:t>
      </w:r>
      <w:r>
        <w:rPr>
          <w:rFonts w:hint="eastAsia" w:ascii="宋体" w:hAnsi="宋体" w:cs="宋体"/>
          <w:color w:val="000000"/>
          <w:sz w:val="24"/>
          <w:szCs w:val="24"/>
        </w:rPr>
        <w:t>自 2026-01-01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起至 2026-06-30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 w14:paraId="3FFDD4F8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54FF1A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E5B524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2.1 产品基本情况</w:t>
            </w:r>
          </w:p>
        </w:tc>
      </w:tr>
    </w:tbl>
    <w:p w14:paraId="17DCBCA8"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 w14:paraId="307D10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 w14:paraId="59AB1181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产品中文商业全称</w:t>
            </w:r>
          </w:p>
        </w:tc>
        <w:tc>
          <w:tcPr>
            <w:tcW w:w="44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 w14:paraId="038A5CF9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泉心盈182天净值型</w:t>
            </w:r>
          </w:p>
        </w:tc>
      </w:tr>
      <w:tr w14:paraId="4E3965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46D3DAB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产品登记编码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41698F14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C1088121000092 </w:t>
            </w:r>
          </w:p>
        </w:tc>
      </w:tr>
      <w:tr w14:paraId="6F8038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1E5A0E0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产品成立/起始日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65B1C155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2021-05-28 </w:t>
            </w:r>
          </w:p>
        </w:tc>
      </w:tr>
      <w:tr w14:paraId="5906B2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E5E673C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报告期末产品份额总额（份）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702615E0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2,256,877,202.81 </w:t>
            </w:r>
          </w:p>
        </w:tc>
      </w:tr>
      <w:tr w14:paraId="7DAB07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CA42B44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业绩比较基准（%）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3F17574B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3/年</w:t>
            </w:r>
          </w:p>
        </w:tc>
      </w:tr>
      <w:tr w14:paraId="30AF6E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FA50F05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杠杆水平（%）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6032C538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/>
                <w:color w:val="000000"/>
                <w:kern w:val="2"/>
              </w:rPr>
              <w:t>100.64</w:t>
            </w:r>
          </w:p>
        </w:tc>
      </w:tr>
      <w:tr w14:paraId="765361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189216B0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销售手续费率（%）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086C7C0E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0.3</w:t>
            </w:r>
          </w:p>
        </w:tc>
      </w:tr>
      <w:tr w14:paraId="1F9593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A5252A4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托管费率（%）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2CC0EF75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0.005</w:t>
            </w:r>
          </w:p>
        </w:tc>
      </w:tr>
      <w:tr w14:paraId="3F3DC7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66FF575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固定管理费率（%）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091055FB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 w14:paraId="3991CB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A5A705E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其他费率（%）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1C500EC3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207E45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076BB83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业绩报酬（元）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5996F2F4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</w:t>
            </w:r>
          </w:p>
        </w:tc>
      </w:tr>
    </w:tbl>
    <w:p w14:paraId="30690B2F"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> </w:t>
      </w:r>
    </w:p>
    <w:p w14:paraId="17847C64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644539CF"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43E788"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3.1 主要财务指标</w:t>
            </w:r>
          </w:p>
        </w:tc>
      </w:tr>
    </w:tbl>
    <w:p w14:paraId="654E88F6"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3C6FA3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E1C551"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单位：元、元/份</w:t>
            </w:r>
          </w:p>
        </w:tc>
      </w:tr>
    </w:tbl>
    <w:p w14:paraId="18B42E7A"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 w14:paraId="285704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 w14:paraId="73991087"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主要财务指标</w:t>
            </w:r>
          </w:p>
        </w:tc>
        <w:tc>
          <w:tcPr>
            <w:tcW w:w="457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 w14:paraId="4668AA0A"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2026-01-01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 xml:space="preserve"> 2026-06-30</w:t>
            </w:r>
          </w:p>
        </w:tc>
      </w:tr>
      <w:tr w14:paraId="5B0498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F7351C6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1.期末产品资产净值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797617B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2,612,095,904.45</w:t>
            </w:r>
          </w:p>
        </w:tc>
      </w:tr>
      <w:tr w14:paraId="728B7D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B6A803D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2.期末产品份额净值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4139EF9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1.15739389</w:t>
            </w:r>
          </w:p>
        </w:tc>
      </w:tr>
      <w:tr w14:paraId="214A5F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82D816B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3.期末产品份额累计净值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79ED158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1.15739389</w:t>
            </w:r>
          </w:p>
        </w:tc>
      </w:tr>
      <w:tr w14:paraId="407CBF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64F7409">
            <w:pPr>
              <w:pStyle w:val="51"/>
              <w:spacing w:line="320" w:lineRule="atLeas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4.本报告期累计净值增长率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12D00B9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1.07</w:t>
            </w:r>
          </w:p>
        </w:tc>
      </w:tr>
    </w:tbl>
    <w:p w14:paraId="6087B3F0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注：除产品合同和说明书另有规定外，期末产品份额净值、期末产品份额累计净值按截位法保留至小数点后第8</w:t>
      </w:r>
      <w:r>
        <w:rPr>
          <w:rFonts w:hint="eastAsia" w:ascii="宋体" w:hAnsi="宋体" w:cs="宋体"/>
          <w:color w:val="000000"/>
          <w:sz w:val="24"/>
          <w:szCs w:val="24"/>
        </w:rPr>
        <w:t>位，其他财务指标保留至小数点后第2位。</w:t>
      </w:r>
    </w:p>
    <w:p w14:paraId="75536444">
      <w:pPr>
        <w:ind w:firstLine="400"/>
        <w:jc w:val="center"/>
        <w:rPr>
          <w:rFonts w:eastAsiaTheme="minorEastAsia"/>
        </w:rPr>
      </w:pPr>
    </w:p>
    <w:p w14:paraId="512F3C53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投资组合报告</w:t>
      </w:r>
    </w:p>
    <w:p w14:paraId="51212E1E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446E2A4A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6D637433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09D90F65">
      <w:pPr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4.1 管理人对报告期内投资组合的投资策略说明</w:t>
      </w:r>
    </w:p>
    <w:p w14:paraId="395F0F4F">
      <w:pPr>
        <w:jc w:val="left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4.1.1 </w:t>
      </w:r>
      <w:r>
        <w:rPr>
          <w:rFonts w:hint="eastAsia" w:ascii="宋体" w:hAnsi="宋体" w:cs="宋体"/>
          <w:color w:val="000000"/>
          <w:sz w:val="24"/>
          <w:szCs w:val="24"/>
        </w:rPr>
        <w:t>投资组合的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投资策略和运作分析</w:t>
      </w:r>
    </w:p>
    <w:p w14:paraId="049792BC">
      <w:pPr>
        <w:spacing w:line="360" w:lineRule="auto"/>
        <w:ind w:firstLine="480" w:firstLineChars="200"/>
        <w:jc w:val="left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2026年上半年，在经济弱复苏、货币政策宽松的背景下，债券市场呈现“震荡走强”格局。一季度，国内经济弱复苏，货币政策维持适度宽松基调，外围扰动加大，债券收益率震荡下行。1月在股债跷跷板效应以及年初配置盘集中入场的影响下，债券收益率先上后下；2月资金宽松主导债券市场定价，收益率持续下行；3月美伊战争引发的通胀预期和资金宽松影响下，债券长短行情分化，曲线收益率陡峭化，整体震荡偏强。二季度在经济基本面数据偏弱的背景下，资金成为影响市场收益率定价的核心因素。4月流动性超预期宽松，收益率下行；5月资金松紧交替、整体偏松；6月流动性转紧，债券收益率反弹后进入窄幅震荡阶段。</w:t>
      </w:r>
    </w:p>
    <w:p w14:paraId="17C64669">
      <w:pPr>
        <w:spacing w:line="360" w:lineRule="auto"/>
        <w:ind w:firstLine="480" w:firstLineChars="200"/>
        <w:jc w:val="left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开放式产品组合以中高等级信用债为底仓，严控信用风险，构建收益稳健、风险可控的投资组合，力争获取超额收益。上半年，组合灵活调整久期与杠杆，底仓以高等级信用债获取票息收益，同步搭配高流动性资产，优化组合流动性，依托利率债、国有大行二永债波段操作，在风险收益匹配的前提下增厚组合整体收益。</w:t>
      </w:r>
    </w:p>
    <w:p w14:paraId="261CDA0E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4.1.2 </w:t>
      </w:r>
      <w:r>
        <w:rPr>
          <w:rFonts w:hint="eastAsia" w:ascii="宋体" w:hAnsi="宋体" w:cs="宋体"/>
          <w:color w:val="000000"/>
          <w:sz w:val="24"/>
          <w:szCs w:val="24"/>
        </w:rPr>
        <w:t>投资组合的流动性风险分析</w:t>
      </w:r>
    </w:p>
    <w:p w14:paraId="27D161EE"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 w14:paraId="210BE591"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sz w:val="24"/>
          <w:szCs w:val="24"/>
        </w:rPr>
      </w:pPr>
      <w:bookmarkStart w:id="2" w:name="_GoBack"/>
      <w:bookmarkEnd w:id="2"/>
    </w:p>
    <w:p w14:paraId="55D219A3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4.2 报告期末资产情况</w:t>
      </w:r>
    </w:p>
    <w:p w14:paraId="296A8521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 w14:paraId="2CE75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 w14:paraId="5E6680AE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 w14:paraId="633B6C7D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 w14:paraId="4910CC4A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 w14:paraId="1D0D8F10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</w:tr>
      <w:tr w14:paraId="6EA811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 w14:paraId="62A6699C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 w14:paraId="55D2CEA7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 w14:paraId="76FB1053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 w14:paraId="4CCCF27E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 w14:paraId="18F44932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 w14:paraId="162E7EB8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</w:tr>
      <w:tr w14:paraId="600DD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3476FD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D5D572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8D56C7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3627930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0514B66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4776F9D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107C39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06E6B7CD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9030B6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C39DB0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3F56F1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7C2BD54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5C68B02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1F5AF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27DDD4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B90544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584C9F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370766E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27F1638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4A64487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7BA69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D0D450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6E5FF6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88550D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CA07E6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69A6EC5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8,323,841.67</w:t>
            </w:r>
          </w:p>
        </w:tc>
        <w:tc>
          <w:tcPr>
            <w:tcW w:w="1705" w:type="dxa"/>
            <w:vAlign w:val="center"/>
          </w:tcPr>
          <w:p w14:paraId="1F30C85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0.32</w:t>
            </w:r>
          </w:p>
        </w:tc>
      </w:tr>
      <w:tr w14:paraId="21D95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9B5061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E33899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1172BF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1,887,129,832.19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B03FF0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71.78</w:t>
            </w:r>
          </w:p>
        </w:tc>
        <w:tc>
          <w:tcPr>
            <w:tcW w:w="1653" w:type="dxa"/>
            <w:vAlign w:val="center"/>
          </w:tcPr>
          <w:p w14:paraId="03B8090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769,571,397.35</w:t>
            </w:r>
          </w:p>
        </w:tc>
        <w:tc>
          <w:tcPr>
            <w:tcW w:w="1705" w:type="dxa"/>
            <w:vAlign w:val="center"/>
          </w:tcPr>
          <w:p w14:paraId="64496C5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29.27</w:t>
            </w:r>
          </w:p>
        </w:tc>
      </w:tr>
      <w:tr w14:paraId="0A21F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5DB86AFE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3E908D19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CD9DAB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1,741,092,895.58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BD85A3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66.23</w:t>
            </w:r>
          </w:p>
        </w:tc>
        <w:tc>
          <w:tcPr>
            <w:tcW w:w="1653" w:type="dxa"/>
            <w:vAlign w:val="center"/>
          </w:tcPr>
          <w:p w14:paraId="6D181DD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769,571,397.35</w:t>
            </w:r>
          </w:p>
        </w:tc>
        <w:tc>
          <w:tcPr>
            <w:tcW w:w="1705" w:type="dxa"/>
            <w:vAlign w:val="center"/>
          </w:tcPr>
          <w:p w14:paraId="63A787D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29.27</w:t>
            </w:r>
          </w:p>
        </w:tc>
      </w:tr>
      <w:tr w14:paraId="7BFA8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1CA332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BFC260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AE124C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146,036,936.61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7EF851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5.56</w:t>
            </w:r>
          </w:p>
        </w:tc>
        <w:tc>
          <w:tcPr>
            <w:tcW w:w="1653" w:type="dxa"/>
            <w:vAlign w:val="center"/>
          </w:tcPr>
          <w:p w14:paraId="0A04584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1D3BBC0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559AF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1A564B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68E58E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458751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BEAF5C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2ED94C7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63C1386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568F0C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D6F202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B67D73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6EF969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46EEEE6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6F58461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739AF0A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3554E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7F0ED2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567E30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FF07FB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10D984C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0EC9AEE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3833367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134FE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F51358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62CB27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2AF2C4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64B5EDB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671FCAE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0FA50CB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07C57A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141E48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830A59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B637D2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39CF5B7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597895A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1D3B892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4CDFC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A5C0B5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F484B4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A129F3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B5D7B5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4B36C68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9,236,741.32</w:t>
            </w:r>
          </w:p>
        </w:tc>
        <w:tc>
          <w:tcPr>
            <w:tcW w:w="1705" w:type="dxa"/>
            <w:vAlign w:val="center"/>
          </w:tcPr>
          <w:p w14:paraId="4D19597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0.35</w:t>
            </w:r>
          </w:p>
        </w:tc>
      </w:tr>
      <w:tr w14:paraId="6FEF6F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7AAB3D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5F4034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B498B1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93F9BF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7E4ADD4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1F54CD8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6B1612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D04767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4622F5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E0777C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3235160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79F8CFD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04D022E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7DB794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A905CD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377F6A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C9A54A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426,570.65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FD5960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0.02</w:t>
            </w:r>
          </w:p>
        </w:tc>
        <w:tc>
          <w:tcPr>
            <w:tcW w:w="1653" w:type="dxa"/>
            <w:vAlign w:val="center"/>
          </w:tcPr>
          <w:p w14:paraId="75296CF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17,644,136.12</w:t>
            </w:r>
          </w:p>
        </w:tc>
        <w:tc>
          <w:tcPr>
            <w:tcW w:w="1705" w:type="dxa"/>
            <w:vAlign w:val="center"/>
          </w:tcPr>
          <w:p w14:paraId="23AD602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0.67</w:t>
            </w:r>
          </w:p>
        </w:tc>
      </w:tr>
      <w:tr w14:paraId="6E3EE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64EE51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B4A3BD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C781FA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4CC4D9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3CB2E61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29A4934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288F3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90D864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AAF814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C9A192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740,633,732.25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85297E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28.17</w:t>
            </w:r>
          </w:p>
        </w:tc>
        <w:tc>
          <w:tcPr>
            <w:tcW w:w="1653" w:type="dxa"/>
            <w:vAlign w:val="center"/>
          </w:tcPr>
          <w:p w14:paraId="71F9D89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092ADA2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21208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68736C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37B5A3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FEF2A9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724,662.59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3238D50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0.03</w:t>
            </w:r>
          </w:p>
        </w:tc>
        <w:tc>
          <w:tcPr>
            <w:tcW w:w="1653" w:type="dxa"/>
            <w:vAlign w:val="center"/>
          </w:tcPr>
          <w:p w14:paraId="566D0AF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5,613,851.80</w:t>
            </w:r>
          </w:p>
        </w:tc>
        <w:tc>
          <w:tcPr>
            <w:tcW w:w="1705" w:type="dxa"/>
            <w:vAlign w:val="center"/>
          </w:tcPr>
          <w:p w14:paraId="341777B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0.21</w:t>
            </w:r>
          </w:p>
        </w:tc>
      </w:tr>
      <w:tr w14:paraId="1C1BA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 w14:paraId="4C9C2452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 w14:paraId="5D956085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 w14:paraId="366682B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2,628,914,797.68</w:t>
            </w:r>
          </w:p>
        </w:tc>
        <w:tc>
          <w:tcPr>
            <w:tcW w:w="1749" w:type="dxa"/>
            <w:shd w:val="clear" w:color="auto" w:fill="auto"/>
          </w:tcPr>
          <w:p w14:paraId="318CABF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1653" w:type="dxa"/>
          </w:tcPr>
          <w:p w14:paraId="702EA67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810,389,968.24</w:t>
            </w:r>
          </w:p>
        </w:tc>
        <w:tc>
          <w:tcPr>
            <w:tcW w:w="1705" w:type="dxa"/>
          </w:tcPr>
          <w:p w14:paraId="5511BBD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30.83</w:t>
            </w:r>
          </w:p>
        </w:tc>
      </w:tr>
    </w:tbl>
    <w:p w14:paraId="44DEC5B8">
      <w:pPr>
        <w:ind w:left="420" w:leftChars="200"/>
        <w:jc w:val="left"/>
        <w:rPr>
          <w:rFonts w:ascii="宋体" w:hAnsi="宋体"/>
          <w:sz w:val="24"/>
        </w:rPr>
      </w:pPr>
    </w:p>
    <w:p w14:paraId="1C317F03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注1：间接投资占产品总资产的比例（%）为占本产品总资产的比例（%）。</w:t>
      </w:r>
    </w:p>
    <w:p w14:paraId="0A4979A7">
      <w:pPr>
        <w:ind w:left="420" w:leftChars="200"/>
        <w:jc w:val="left"/>
        <w:rPr>
          <w:rFonts w:asciiTheme="minorEastAsia" w:hAnsiTheme="minorEastAsia" w:eastAsiaTheme="minorEastAsia"/>
          <w:szCs w:val="21"/>
        </w:rPr>
      </w:pPr>
    </w:p>
    <w:p w14:paraId="1DE7003D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4.3 报告期末投资前十名资产明细</w:t>
      </w:r>
    </w:p>
    <w:p w14:paraId="423C201B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 w14:paraId="3D41B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 w14:paraId="74ABA405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 w14:paraId="17D27DB6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64800700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 w14:paraId="316A647D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占产品资产净值比例（%）</w:t>
            </w:r>
          </w:p>
        </w:tc>
      </w:tr>
      <w:tr w14:paraId="1D5E0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 w14:paraId="71237A51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65E9FED6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创金合信恒利75号集合资产管理计划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D43E85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653,158,283.48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21AB499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5"/>
            <w:bookmarkStart w:id="1" w:name="OLE_LINK6"/>
            <w:r>
              <w:rPr>
                <w:rFonts w:ascii="宋体" w:hAnsi="宋体" w:cs="宋体"/>
                <w:color w:val="000000"/>
                <w:sz w:val="24"/>
                <w:szCs w:val="24"/>
              </w:rPr>
              <w:t>25.01</w:t>
            </w:r>
            <w:bookmarkEnd w:id="0"/>
            <w:bookmarkEnd w:id="1"/>
          </w:p>
        </w:tc>
      </w:tr>
      <w:tr w14:paraId="2378F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464ACDB0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5A5926D7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23国开07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359C0E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112,464,415.89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2FFD8C4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4.31</w:t>
            </w:r>
          </w:p>
        </w:tc>
      </w:tr>
      <w:tr w14:paraId="784E04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79F732F2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4E098015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鑫沅鑫梅花527号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39E58D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87,475,448.77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1DD628E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3.35</w:t>
            </w:r>
          </w:p>
        </w:tc>
      </w:tr>
      <w:tr w14:paraId="4CAE27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67371FE5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2B4091E6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22国开10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0A73C0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86,499,525.48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09376D3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3.31</w:t>
            </w:r>
          </w:p>
        </w:tc>
      </w:tr>
      <w:tr w14:paraId="200B2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0488BCD0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1396CE88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H希尔01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7C4517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56,377,500.00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0B2148D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2.16</w:t>
            </w:r>
          </w:p>
        </w:tc>
      </w:tr>
      <w:tr w14:paraId="06A80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5801FB7E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72F86CD5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23农发13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E41F7A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51,057,595.89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394EA1A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1.95</w:t>
            </w:r>
          </w:p>
        </w:tc>
      </w:tr>
      <w:tr w14:paraId="3EF51F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5A8E737A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29426C40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天二03优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C5F970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41,453,795.62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0733ACD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1.59</w:t>
            </w:r>
          </w:p>
        </w:tc>
      </w:tr>
      <w:tr w14:paraId="7FBC6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7909E2FB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3147F54B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20DFCX02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5EA328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41,003,020.27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6F99D35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1.57</w:t>
            </w:r>
          </w:p>
        </w:tc>
      </w:tr>
      <w:tr w14:paraId="206809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17C40814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53AA81B6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23重庆旅投PPN001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D198E8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35,987,645.34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07C43B6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1.38</w:t>
            </w:r>
          </w:p>
        </w:tc>
      </w:tr>
      <w:tr w14:paraId="0A62B0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4DB6CD57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3D32887F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23泰金01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8FAFBF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31,424,938.36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4FFC6FE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1.20</w:t>
            </w:r>
          </w:p>
        </w:tc>
      </w:tr>
    </w:tbl>
    <w:p w14:paraId="48E8F273"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 w14:paraId="1AC67CFF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注：前十项资产明细仅包含证券投资、场外投资，不包含银行存款、存出保证金、清算备付金等资产。</w:t>
      </w:r>
    </w:p>
    <w:p w14:paraId="18357BCF">
      <w:pPr>
        <w:jc w:val="left"/>
        <w:rPr>
          <w:rFonts w:asciiTheme="minorEastAsia" w:hAnsiTheme="minorEastAsia" w:eastAsiaTheme="minorEastAsia"/>
          <w:sz w:val="24"/>
          <w:szCs w:val="24"/>
        </w:rPr>
      </w:pPr>
    </w:p>
    <w:p w14:paraId="647191A3"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 w14:paraId="186FA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 w14:paraId="532FA583"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46471823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 w14:paraId="36B2398C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 w14:paraId="59A48B36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 w14:paraId="5CE38DDD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 w14:paraId="5A24C4CB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 w14:paraId="49DB7098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风险状况</w:t>
            </w:r>
          </w:p>
        </w:tc>
      </w:tr>
      <w:tr w14:paraId="68D712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 w14:paraId="7A2C9664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23EEC62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2CBAAE1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43A138A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0374881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33" w:type="dxa"/>
            <w:vAlign w:val="center"/>
          </w:tcPr>
          <w:p w14:paraId="1591F6C8"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7" w:type="dxa"/>
            <w:vAlign w:val="center"/>
          </w:tcPr>
          <w:p w14:paraId="1B4939FD"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</w:tbl>
    <w:p w14:paraId="45BDFDD7">
      <w:pPr>
        <w:ind w:left="4" w:leftChars="2"/>
        <w:jc w:val="left"/>
        <w:rPr>
          <w:rFonts w:asciiTheme="minorEastAsia" w:hAnsiTheme="minorEastAsia" w:eastAsiaTheme="minorEastAsia"/>
          <w:szCs w:val="21"/>
        </w:rPr>
      </w:pPr>
    </w:p>
    <w:p w14:paraId="54B6E167"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4.5 产品份额变动</w:t>
      </w:r>
    </w:p>
    <w:p w14:paraId="64C23A10">
      <w:pPr>
        <w:ind w:left="4" w:leftChars="2"/>
        <w:jc w:val="right"/>
        <w:rPr>
          <w:rFonts w:asciiTheme="minorEastAsia" w:hAnsiTheme="minorEastAsia" w:eastAsiaTheme="minorEastAsia"/>
          <w:szCs w:val="21"/>
        </w:rPr>
      </w:pPr>
      <w:r>
        <w:rPr>
          <w:rFonts w:hint="eastAsia" w:ascii="宋体" w:hAnsi="宋体" w:cs="宋体"/>
          <w:color w:val="000000"/>
          <w:sz w:val="24"/>
          <w:szCs w:val="24"/>
        </w:rPr>
        <w:t>单位：份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 w14:paraId="162B3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3474ECF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046166F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4,993,952,996.29</w:t>
            </w:r>
          </w:p>
        </w:tc>
      </w:tr>
      <w:tr w14:paraId="50FC8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77812CB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1CA06AE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2,256,877,202.81</w:t>
            </w:r>
          </w:p>
        </w:tc>
      </w:tr>
      <w:tr w14:paraId="08E30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B13248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4F9C853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-4,993,952,996.29</w:t>
            </w:r>
          </w:p>
        </w:tc>
      </w:tr>
      <w:tr w14:paraId="6626E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1E9A8A1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41DD0CE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2,256,877,202.81</w:t>
            </w:r>
          </w:p>
        </w:tc>
      </w:tr>
    </w:tbl>
    <w:p w14:paraId="32D0C9D3"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4.6 投资账户信息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 w14:paraId="01D2F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D7D1753">
            <w:pPr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4B1F0AF0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03746D5B">
            <w:pPr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43F9919A">
            <w:pPr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开户行</w:t>
            </w:r>
          </w:p>
        </w:tc>
      </w:tr>
      <w:tr w14:paraId="7B00D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C9C2D37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1227EFF0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齐鲁银行股份有限公司泉心盈182天净值型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10433C7C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376010100101367307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0B057838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兴业银行</w:t>
            </w:r>
          </w:p>
        </w:tc>
      </w:tr>
    </w:tbl>
    <w:p w14:paraId="3D17A003">
      <w:pPr>
        <w:spacing w:line="360" w:lineRule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</w:p>
    <w:p w14:paraId="745D24BE"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 w14:paraId="0BB56697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5  托管人报告</w:t>
      </w:r>
    </w:p>
    <w:p w14:paraId="6E7D1D41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 w14:paraId="10ABE98A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 w14:paraId="46C3B85F"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bidi="ar"/>
        </w:rPr>
        <w:t>特此公告。</w:t>
      </w:r>
    </w:p>
    <w:p w14:paraId="5163D3EB">
      <w:pPr>
        <w:spacing w:line="360" w:lineRule="auto"/>
        <w:ind w:firstLine="420"/>
        <w:rPr>
          <w:rFonts w:eastAsia="Times New Roman"/>
        </w:rPr>
      </w:pPr>
      <w:r>
        <w:rPr>
          <w:rFonts w:ascii="Calibri" w:hAnsi="Calibri" w:eastAsia="Calibri" w:cs="Calibri"/>
          <w:szCs w:val="21"/>
        </w:rPr>
        <w:t> </w:t>
      </w:r>
    </w:p>
    <w:p w14:paraId="6F66A677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齐鲁银行股份有限公司</w:t>
      </w:r>
    </w:p>
    <w:p w14:paraId="2BBCE1A3"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2026-08-29</w:t>
      </w:r>
    </w:p>
    <w:p w14:paraId="494D37CE">
      <w:pPr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start="1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3EDF5B"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 w14:paraId="4FC307CC"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8E3AC5"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 w14:paraId="068F71F0"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1CC45B95"/>
    <w:rsid w:val="2A0F0CCD"/>
    <w:rsid w:val="3F6778EF"/>
    <w:rsid w:val="46A87316"/>
    <w:rsid w:val="4746708A"/>
    <w:rsid w:val="541F3E53"/>
    <w:rsid w:val="59CF39D5"/>
    <w:rsid w:val="5E927177"/>
    <w:rsid w:val="63FA7DBC"/>
    <w:rsid w:val="6ACC0B2B"/>
    <w:rsid w:val="78A05E31"/>
    <w:rsid w:val="7E456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MsoNormal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6</Pages>
  <Words>393</Words>
  <Characters>2242</Characters>
  <Lines>18</Lines>
  <Paragraphs>5</Paragraphs>
  <TotalTime>0</TotalTime>
  <ScaleCrop>false</ScaleCrop>
  <LinksUpToDate>false</LinksUpToDate>
  <CharactersWithSpaces>2630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董鲁豫</cp:lastModifiedBy>
  <cp:lastPrinted>2411-12-31T15:59:00Z</cp:lastPrinted>
  <dcterms:modified xsi:type="dcterms:W3CDTF">2026-08-04T02:15:36Z</dcterms:modified>
  <dc:title>gongGaoMingCheng</dc:title>
  <cp:revision>192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74128E040AC64E1FACE515C7E3649458</vt:lpwstr>
  </property>
</Properties>
</file>