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23CEB7A2">
      <w:pPr>
        <w:rPr>
          <w:sz w:val="48"/>
        </w:rPr>
      </w:pPr>
    </w:p>
    <w:p w14:paraId="4D405465">
      <w:pPr>
        <w:rPr>
          <w:sz w:val="48"/>
        </w:rPr>
      </w:pPr>
    </w:p>
    <w:p w14:paraId="31F22C50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安稳泉家2025年29号 </w:t>
      </w:r>
    </w:p>
    <w:p w14:paraId="22E605CE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2026年半年度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1759961E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74E01433">
      <w:pPr>
        <w:jc w:val="center"/>
        <w:rPr>
          <w:rFonts w:ascii="宋体" w:hAnsi="宋体"/>
          <w:sz w:val="28"/>
          <w:szCs w:val="30"/>
        </w:rPr>
      </w:pPr>
    </w:p>
    <w:p w14:paraId="71329A16">
      <w:pPr>
        <w:jc w:val="center"/>
        <w:rPr>
          <w:rFonts w:ascii="宋体" w:hAnsi="宋体"/>
          <w:sz w:val="28"/>
          <w:szCs w:val="30"/>
        </w:rPr>
      </w:pPr>
    </w:p>
    <w:p w14:paraId="40BB98CF">
      <w:pPr>
        <w:jc w:val="center"/>
        <w:rPr>
          <w:rFonts w:ascii="宋体" w:hAnsi="宋体"/>
          <w:sz w:val="28"/>
          <w:szCs w:val="30"/>
        </w:rPr>
      </w:pPr>
    </w:p>
    <w:p w14:paraId="46A6FFBC">
      <w:pPr>
        <w:jc w:val="center"/>
        <w:rPr>
          <w:rFonts w:ascii="宋体" w:hAnsi="宋体"/>
          <w:sz w:val="28"/>
          <w:szCs w:val="30"/>
        </w:rPr>
      </w:pPr>
    </w:p>
    <w:p w14:paraId="7042E9B5">
      <w:pPr>
        <w:jc w:val="center"/>
        <w:rPr>
          <w:rFonts w:ascii="宋体" w:hAnsi="宋体"/>
          <w:sz w:val="28"/>
          <w:szCs w:val="30"/>
        </w:rPr>
      </w:pPr>
    </w:p>
    <w:p w14:paraId="722B52E7">
      <w:pPr>
        <w:jc w:val="center"/>
        <w:rPr>
          <w:rFonts w:ascii="宋体" w:hAnsi="宋体"/>
          <w:sz w:val="28"/>
          <w:szCs w:val="30"/>
        </w:rPr>
      </w:pPr>
    </w:p>
    <w:p w14:paraId="5CB9FAB9">
      <w:pPr>
        <w:jc w:val="center"/>
        <w:rPr>
          <w:rFonts w:ascii="宋体" w:hAnsi="宋体"/>
          <w:sz w:val="28"/>
          <w:szCs w:val="30"/>
        </w:rPr>
      </w:pPr>
    </w:p>
    <w:p w14:paraId="405D9ABF">
      <w:pPr>
        <w:jc w:val="center"/>
        <w:rPr>
          <w:rFonts w:ascii="宋体" w:hAnsi="宋体"/>
          <w:sz w:val="28"/>
          <w:szCs w:val="30"/>
        </w:rPr>
      </w:pPr>
    </w:p>
    <w:p w14:paraId="2AA02D6D">
      <w:pPr>
        <w:jc w:val="center"/>
        <w:rPr>
          <w:rFonts w:ascii="宋体" w:hAnsi="宋体"/>
          <w:sz w:val="28"/>
          <w:szCs w:val="30"/>
        </w:rPr>
      </w:pPr>
    </w:p>
    <w:p w14:paraId="2E1042FC">
      <w:pPr>
        <w:jc w:val="center"/>
        <w:rPr>
          <w:rFonts w:ascii="宋体" w:hAnsi="宋体"/>
          <w:sz w:val="28"/>
          <w:szCs w:val="30"/>
        </w:rPr>
      </w:pPr>
    </w:p>
    <w:p w14:paraId="68F4BF50">
      <w:pPr>
        <w:jc w:val="center"/>
        <w:rPr>
          <w:rFonts w:ascii="宋体" w:hAnsi="宋体"/>
          <w:sz w:val="28"/>
          <w:szCs w:val="30"/>
        </w:rPr>
      </w:pPr>
    </w:p>
    <w:p w14:paraId="0CA80C82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产品管理人：齐鲁银行股份有限公司</w:t>
      </w:r>
    </w:p>
    <w:p w14:paraId="2191CA41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产品托管人：中国工商银行股份有限公司</w:t>
      </w:r>
    </w:p>
    <w:p w14:paraId="1E870E32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7489542F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54BB2303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28F0F7A5">
      <w:pPr>
        <w:rPr>
          <w:rFonts w:ascii="宋体" w:hAnsi="宋体"/>
          <w:sz w:val="28"/>
          <w:szCs w:val="30"/>
        </w:rPr>
      </w:pPr>
    </w:p>
    <w:p w14:paraId="69117D2B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3742CF47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1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重要提示</w:t>
      </w:r>
    </w:p>
    <w:p w14:paraId="7B703BDC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产品管理人的董事会及董事保证本报告所载资料不存在虚假记载、误导性陈述或重大遗漏，并对其内容的真实性、准确性和完整性承担个别及连带责任。</w:t>
      </w:r>
    </w:p>
    <w:p w14:paraId="7F1C7C24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产品管理人承诺以诚实信用、勤勉尽责的原则管理和运用产品资产，但不保证产品一定盈利。　</w:t>
      </w:r>
    </w:p>
    <w:p w14:paraId="244B5326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产品的过往业绩并不代表其未来表现。投资有风险，投资者在作出投资决策前应仔细阅读本产品的产品说明书。</w:t>
      </w:r>
    </w:p>
    <w:p w14:paraId="61429C4E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本报告中财务资料未经审计。</w:t>
      </w:r>
    </w:p>
    <w:p w14:paraId="24B64A94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</w:t>
      </w:r>
      <w:r>
        <w:rPr>
          <w:rFonts w:ascii="宋体" w:hAnsi="宋体" w:cs="宋体"/>
          <w:color w:val="000000"/>
          <w:sz w:val="24"/>
          <w:szCs w:val="24"/>
        </w:rPr>
        <w:t>报告期</w:t>
      </w:r>
      <w:r>
        <w:rPr>
          <w:rFonts w:hint="eastAsia" w:ascii="宋体" w:hAnsi="宋体" w:cs="宋体"/>
          <w:color w:val="000000"/>
          <w:sz w:val="24"/>
          <w:szCs w:val="24"/>
        </w:rPr>
        <w:t>自 2026-01-01</w:t>
      </w: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hint="eastAsia" w:ascii="宋体" w:hAnsi="宋体" w:cs="宋体"/>
          <w:color w:val="000000"/>
          <w:sz w:val="24"/>
          <w:szCs w:val="24"/>
        </w:rPr>
        <w:t>起至 2026-06-30</w:t>
      </w:r>
      <w:r>
        <w:rPr>
          <w:rFonts w:ascii="宋体" w:hAnsi="宋体" w:cs="宋体"/>
          <w:color w:val="000000"/>
          <w:sz w:val="24"/>
          <w:szCs w:val="24"/>
        </w:rPr>
        <w:t xml:space="preserve"> 止。</w:t>
      </w:r>
    </w:p>
    <w:p w14:paraId="640FCD21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2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 xml:space="preserve">产品概况 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2A4CA8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E5C7B7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2.1 产品基本情况</w:t>
            </w:r>
          </w:p>
        </w:tc>
      </w:tr>
    </w:tbl>
    <w:p w14:paraId="14D5747F">
      <w:pPr>
        <w:rPr>
          <w:vanish/>
          <w:sz w:val="24"/>
          <w:szCs w:val="24"/>
        </w:rPr>
      </w:pPr>
    </w:p>
    <w:tbl>
      <w:tblPr>
        <w:tblStyle w:val="17"/>
        <w:tblW w:w="89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97"/>
        <w:gridCol w:w="4483"/>
      </w:tblGrid>
      <w:tr w14:paraId="1228C8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44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</w:tcPr>
          <w:p w14:paraId="6A546253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产品中文商业全称</w:t>
            </w:r>
          </w:p>
        </w:tc>
        <w:tc>
          <w:tcPr>
            <w:tcW w:w="448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</w:tcPr>
          <w:p w14:paraId="56E91BEA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安稳泉家2025年29号</w:t>
            </w:r>
          </w:p>
        </w:tc>
      </w:tr>
      <w:tr w14:paraId="15802C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4CF07F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产品登记编码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6F2D154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C1088125000055 </w:t>
            </w:r>
          </w:p>
        </w:tc>
      </w:tr>
      <w:tr w14:paraId="6755CF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9CB0D5A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产品成立/起始日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2D1A3FB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2025-12-16 </w:t>
            </w:r>
          </w:p>
        </w:tc>
      </w:tr>
      <w:tr w14:paraId="5A98E4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683CDB1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报告期末产品份额总额（份）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F215D2B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 xml:space="preserve">229,482,000.00 </w:t>
            </w:r>
          </w:p>
        </w:tc>
      </w:tr>
      <w:tr w14:paraId="7A30C8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52FEBB9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业绩比较基准（%）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2FA7F7F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1463E62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7A53F5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A8CF1B4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2.53/年</w:t>
            </w:r>
          </w:p>
        </w:tc>
      </w:tr>
      <w:tr w14:paraId="72AC898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FBA767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927E801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2.48/年</w:t>
            </w:r>
          </w:p>
        </w:tc>
      </w:tr>
      <w:tr w14:paraId="75E7E5A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0A2E48D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87BF5EA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2.45/年</w:t>
            </w:r>
          </w:p>
        </w:tc>
      </w:tr>
      <w:tr w14:paraId="6D4D0B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5D9179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4529A9B3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2.5/年</w:t>
            </w:r>
          </w:p>
        </w:tc>
      </w:tr>
      <w:tr w14:paraId="28C910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36975E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杠杆水平（%）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181625BA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ascii="宋体" w:hAnsi="宋体" w:cs="宋体"/>
                <w:color w:val="000000"/>
                <w:kern w:val="2"/>
              </w:rPr>
              <w:t>109.96</w:t>
            </w:r>
          </w:p>
        </w:tc>
      </w:tr>
      <w:tr w14:paraId="64B601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44B32A6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销售手续费率（%）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599BB924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02B29A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FA69F5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25029X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F3066F2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0.22</w:t>
            </w:r>
          </w:p>
        </w:tc>
      </w:tr>
      <w:tr w14:paraId="137BB98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72D52F88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25029H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57145BA9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0.27</w:t>
            </w:r>
          </w:p>
        </w:tc>
      </w:tr>
      <w:tr w14:paraId="1A04BC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293B71D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25029A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39AEB573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0.3</w:t>
            </w:r>
          </w:p>
        </w:tc>
      </w:tr>
      <w:tr w14:paraId="0753E8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58667D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25029B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</w:tcPr>
          <w:p w14:paraId="61F80851">
            <w:pPr>
              <w:pStyle w:val="51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0.25</w:t>
            </w:r>
          </w:p>
        </w:tc>
      </w:tr>
      <w:tr w14:paraId="6A2929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959493C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托管费率（%）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BDE32B6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0.005</w:t>
            </w:r>
          </w:p>
        </w:tc>
      </w:tr>
      <w:tr w14:paraId="6A441C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6C7791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固定管理费率（%）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2AE5A78C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0.2</w:t>
            </w:r>
          </w:p>
        </w:tc>
      </w:tr>
      <w:tr w14:paraId="3D10DE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7B715A5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其他费率（%）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06B68E11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</w:p>
        </w:tc>
      </w:tr>
      <w:tr w14:paraId="6B0A1C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44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A483C6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业绩报酬（元）</w:t>
            </w:r>
          </w:p>
        </w:tc>
        <w:tc>
          <w:tcPr>
            <w:tcW w:w="448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A8E6F0A">
            <w:pPr>
              <w:pStyle w:val="51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0.00</w:t>
            </w:r>
          </w:p>
        </w:tc>
      </w:tr>
    </w:tbl>
    <w:p w14:paraId="39124BF2">
      <w:pPr>
        <w:ind w:firstLine="400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 w14:paraId="25265C11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3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主要财务指标和产品净值表现</w:t>
      </w: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1BFFF349">
        <w:trPr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22AAC9">
            <w:pPr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3.1 主要财务指标</w:t>
            </w:r>
          </w:p>
        </w:tc>
      </w:tr>
    </w:tbl>
    <w:p w14:paraId="5E0A01DF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000" w:type="dxa"/>
        <w:jc w:val="center"/>
        <w:tblCellSpacing w:w="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0"/>
      </w:tblGrid>
      <w:tr w14:paraId="53D619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" w:hRule="atLeast"/>
          <w:tblCellSpacing w:w="8" w:type="dxa"/>
          <w:jc w:val="center"/>
        </w:trPr>
        <w:tc>
          <w:tcPr>
            <w:tcW w:w="8968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D4C888">
            <w:pPr>
              <w:pStyle w:val="51"/>
              <w:jc w:val="right"/>
              <w:rPr>
                <w:rFonts w:ascii="宋体" w:hAnsi="宋体"/>
                <w:color w:val="000000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单位：元、元/份</w:t>
            </w:r>
          </w:p>
        </w:tc>
      </w:tr>
    </w:tbl>
    <w:p w14:paraId="1B37DCB6">
      <w:pPr>
        <w:rPr>
          <w:rFonts w:ascii="宋体" w:hAnsi="宋体"/>
          <w:vanish/>
          <w:sz w:val="24"/>
          <w:szCs w:val="24"/>
        </w:rPr>
      </w:pPr>
    </w:p>
    <w:tbl>
      <w:tblPr>
        <w:tblStyle w:val="17"/>
        <w:tblW w:w="915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81"/>
        <w:gridCol w:w="4571"/>
      </w:tblGrid>
      <w:tr w14:paraId="75D670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458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18" w:type="dxa"/>
              <w:bottom w:w="10" w:type="dxa"/>
              <w:right w:w="118" w:type="dxa"/>
            </w:tcMar>
            <w:vAlign w:val="center"/>
          </w:tcPr>
          <w:p w14:paraId="09645D30">
            <w:pPr>
              <w:pStyle w:val="52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主要财务指标</w:t>
            </w:r>
          </w:p>
        </w:tc>
        <w:tc>
          <w:tcPr>
            <w:tcW w:w="457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tcMar>
              <w:top w:w="10" w:type="dxa"/>
              <w:left w:w="108" w:type="dxa"/>
              <w:bottom w:w="10" w:type="dxa"/>
              <w:right w:w="118" w:type="dxa"/>
            </w:tcMar>
            <w:vAlign w:val="center"/>
          </w:tcPr>
          <w:p w14:paraId="0541D257">
            <w:pPr>
              <w:pStyle w:val="51"/>
              <w:spacing w:line="40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2026-01-01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>至</w:t>
            </w:r>
            <w:r>
              <w:rPr>
                <w:rFonts w:ascii="宋体" w:hAnsi="宋体" w:cs="宋体"/>
                <w:color w:val="000000"/>
                <w:kern w:val="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2"/>
              </w:rPr>
              <w:t xml:space="preserve"> 2026-06-30</w:t>
            </w:r>
          </w:p>
        </w:tc>
      </w:tr>
      <w:tr w14:paraId="230BBE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2952BCF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1.期末产品资产净值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729FE31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232,540,784.21</w:t>
            </w:r>
          </w:p>
        </w:tc>
      </w:tr>
      <w:tr w14:paraId="297490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314C7E9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25029A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C29D83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151,487,015.49</w:t>
            </w:r>
          </w:p>
        </w:tc>
      </w:tr>
      <w:tr w14:paraId="34084A4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04CABD6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25029B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2A5A585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30,404,794.65</w:t>
            </w:r>
          </w:p>
        </w:tc>
      </w:tr>
      <w:tr w14:paraId="118554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1CD14106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25029H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458E89A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20,267,704.19</w:t>
            </w:r>
          </w:p>
        </w:tc>
      </w:tr>
      <w:tr w14:paraId="50EF9D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nil"/>
              <w:left w:val="single" w:color="000000" w:sz="8" w:space="0"/>
              <w:bottom w:val="single" w:color="auto" w:sz="4" w:space="0"/>
              <w:right w:val="single" w:color="000000" w:sz="8" w:space="0"/>
            </w:tcBorders>
            <w:shd w:val="clear" w:color="auto" w:fill="auto"/>
          </w:tcPr>
          <w:p w14:paraId="22D456C9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25029X</w:t>
            </w:r>
          </w:p>
        </w:tc>
        <w:tc>
          <w:tcPr>
            <w:tcW w:w="4571" w:type="dxa"/>
            <w:tcBorders>
              <w:top w:val="nil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2EE26C3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30,381,269.88</w:t>
            </w:r>
          </w:p>
        </w:tc>
      </w:tr>
      <w:tr w14:paraId="699759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02B1AE5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2.期末产品份额净值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4BD167F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1.01332908</w:t>
            </w:r>
          </w:p>
        </w:tc>
      </w:tr>
      <w:tr w14:paraId="7F5FDE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777C8D5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25029A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34F5C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1.01322329</w:t>
            </w:r>
          </w:p>
        </w:tc>
      </w:tr>
      <w:tr w14:paraId="6378D8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2906E3E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F3B75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1.01349315</w:t>
            </w:r>
          </w:p>
        </w:tc>
      </w:tr>
      <w:tr w14:paraId="556AC6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32F87CA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D45F6D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1.0133852</w:t>
            </w:r>
          </w:p>
        </w:tc>
      </w:tr>
      <w:tr w14:paraId="55AB9C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3394752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B2562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1.01365507</w:t>
            </w:r>
          </w:p>
        </w:tc>
      </w:tr>
      <w:tr w14:paraId="5224AD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4F114E5C">
            <w:pPr>
              <w:pStyle w:val="51"/>
              <w:spacing w:line="320" w:lineRule="atLeas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3.期末产品份额累计净值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0623CB2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1.01332908</w:t>
            </w:r>
          </w:p>
        </w:tc>
      </w:tr>
      <w:tr w14:paraId="1AC51F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7ECD63D0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25029A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A66BB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1.01322329</w:t>
            </w:r>
          </w:p>
        </w:tc>
      </w:tr>
      <w:tr w14:paraId="508556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C9B6D3F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25029B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C4AEB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1.01349315</w:t>
            </w:r>
          </w:p>
        </w:tc>
      </w:tr>
      <w:tr w14:paraId="036E12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871F6CB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25029H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282A71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1.0133852</w:t>
            </w:r>
          </w:p>
        </w:tc>
      </w:tr>
      <w:tr w14:paraId="006601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6A5BAFD7">
            <w:pPr>
              <w:pStyle w:val="51"/>
              <w:spacing w:line="320" w:lineRule="atLeast"/>
              <w:ind w:hanging="1"/>
              <w:jc w:val="left"/>
              <w:rPr>
                <w:rFonts w:ascii="宋体" w:hAnsi="宋体" w:cs="宋体"/>
                <w:color w:val="000000"/>
                <w:kern w:val="2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25029X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0AA24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1.01365507</w:t>
            </w:r>
          </w:p>
        </w:tc>
      </w:tr>
      <w:tr w14:paraId="1A1349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6D6595D5">
            <w:pPr>
              <w:pStyle w:val="51"/>
              <w:spacing w:line="320" w:lineRule="atLeas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kern w:val="2"/>
              </w:rPr>
              <w:t>4.本报告期累计净值增长率</w:t>
            </w:r>
            <w:r>
              <w:rPr>
                <w:rFonts w:hint="eastAsia" w:ascii="宋体" w:hAnsi="宋体" w:cs="宋体"/>
                <w:color w:val="000000"/>
                <w:kern w:val="2"/>
                <w:lang w:eastAsia="zh-CN"/>
              </w:rPr>
              <w:t>（</w:t>
            </w:r>
            <w:r>
              <w:rPr>
                <w:rFonts w:hint="eastAsia" w:ascii="宋体" w:hAnsi="宋体" w:cs="宋体"/>
                <w:color w:val="000000"/>
                <w:kern w:val="2"/>
                <w:lang w:val="en-US" w:eastAsia="zh-CN"/>
              </w:rPr>
              <w:t>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4B2945F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1.22</w:t>
            </w:r>
          </w:p>
        </w:tc>
      </w:tr>
      <w:tr w14:paraId="488A816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D1E8C26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其中： 25029A（%）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5F522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1.21</w:t>
            </w:r>
          </w:p>
        </w:tc>
      </w:tr>
      <w:tr w14:paraId="362C18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531B5FC8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25029B（%）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0BB85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1.24</w:t>
            </w:r>
          </w:p>
        </w:tc>
      </w:tr>
      <w:tr w14:paraId="02CBA4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1E74AC20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25029H（%）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9DE77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1.23</w:t>
            </w:r>
          </w:p>
        </w:tc>
      </w:tr>
      <w:tr w14:paraId="14FC66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5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2EE1773A">
            <w:pPr>
              <w:pStyle w:val="51"/>
              <w:spacing w:line="320" w:lineRule="atLeast"/>
              <w:ind w:hanging="1"/>
              <w:jc w:val="left"/>
              <w:rPr>
                <w:rFonts w:hint="default" w:ascii="宋体" w:hAnsi="宋体" w:eastAsia="宋体" w:cs="宋体"/>
                <w:color w:val="000000"/>
                <w:kern w:val="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u w:val="none"/>
              </w:rPr>
              <w:t>25029X（%）</w:t>
            </w:r>
          </w:p>
        </w:tc>
        <w:tc>
          <w:tcPr>
            <w:tcW w:w="45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2AD04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1.25</w:t>
            </w:r>
          </w:p>
        </w:tc>
      </w:tr>
    </w:tbl>
    <w:p w14:paraId="2CF331D3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注：除产品合同和说明书另有规定外，期末产品份额净值、期末产品份额累计净值按截位法保留至小数点后第8</w:t>
      </w:r>
      <w:r>
        <w:rPr>
          <w:rFonts w:hint="eastAsia" w:ascii="宋体" w:hAnsi="宋体" w:cs="宋体"/>
          <w:color w:val="000000"/>
          <w:sz w:val="24"/>
          <w:szCs w:val="24"/>
        </w:rPr>
        <w:t>位，其他财务指标保留至小数点后第2位。</w:t>
      </w:r>
    </w:p>
    <w:p w14:paraId="0B91CB16">
      <w:pPr>
        <w:ind w:firstLine="400"/>
        <w:jc w:val="center"/>
        <w:rPr>
          <w:rFonts w:eastAsiaTheme="minorEastAsia"/>
        </w:rPr>
      </w:pPr>
    </w:p>
    <w:p w14:paraId="52D5C425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4</w:t>
      </w:r>
      <w:r>
        <w:rPr>
          <w:rFonts w:ascii="宋体" w:hAnsi="宋体"/>
          <w:bCs/>
          <w:sz w:val="33"/>
          <w:szCs w:val="33"/>
        </w:rPr>
        <w:t xml:space="preserve"> </w:t>
      </w:r>
      <w:r>
        <w:rPr>
          <w:rFonts w:hint="eastAsia" w:ascii="宋体" w:hAnsi="宋体"/>
          <w:bCs/>
          <w:sz w:val="33"/>
          <w:szCs w:val="33"/>
        </w:rPr>
        <w:t>投资组合报告</w:t>
      </w:r>
    </w:p>
    <w:p w14:paraId="05A798B1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5230E953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6BEEBE3C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/>
        </w:rPr>
      </w:pPr>
    </w:p>
    <w:p w14:paraId="09D90F65">
      <w:pPr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4.1 管理人对报告期内投资组合的投资策略说明</w:t>
      </w:r>
    </w:p>
    <w:p w14:paraId="395F0F4F">
      <w:pPr>
        <w:jc w:val="left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4.1.1 </w:t>
      </w:r>
      <w:r>
        <w:rPr>
          <w:rFonts w:hint="eastAsia" w:ascii="宋体" w:hAnsi="宋体" w:cs="宋体"/>
          <w:color w:val="000000"/>
          <w:sz w:val="24"/>
          <w:szCs w:val="24"/>
        </w:rPr>
        <w:t>投资组合的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投资策略和运作分析</w:t>
      </w:r>
    </w:p>
    <w:p w14:paraId="049792BC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2026年上半年，在经济弱复苏、货币政策宽松的背景下，债券市场呈现“震荡走强”格局。一季度，国内经济弱复苏，货币政策维持适度宽松基调，外围扰动加大，债券收益率震荡下行。1月在股债跷跷板效应以及年初配置盘集中入场的影响下，债券收益率先上后下；2月资金宽松主导债券市场定价，收益率持续下行；3月美伊战争引发的通胀预期和资金宽松影响下，债券长短行情分化，曲线收益率陡峭化，整体震荡偏强。二季度在经济基本面数据偏弱的背景下，资金成为影响市场收益率定价的核心因素。4月流动性超预期宽松，收益率下行；5月资金松紧交替、整体偏松；6月流动性转紧，债券收益率反弹后进入窄幅震荡阶段。</w:t>
      </w:r>
    </w:p>
    <w:p w14:paraId="17C64669">
      <w:pPr>
        <w:spacing w:line="360" w:lineRule="auto"/>
        <w:ind w:firstLine="480" w:firstLineChars="200"/>
        <w:jc w:val="left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default" w:ascii="宋体" w:hAnsi="宋体" w:cs="宋体"/>
          <w:color w:val="000000"/>
          <w:sz w:val="24"/>
          <w:szCs w:val="24"/>
          <w:lang w:val="en-US" w:eastAsia="zh-CN"/>
        </w:rPr>
        <w:t>封闭式产品坚持稳健运作的投资理念，通过对国内外宏观经济形势、金融市场运行情况的综合分析，在严格控制风险的前提下，以中高等级信用债为底仓，积极构建和调整投资组合。上半年，组合保持中性久期水平，积极配置利差保护较足的信用资产，维持杠杆策略，同时关注交易活跃品种的波段机会，不断丰富投资品种，根据对后市的研判灵活调整资产久期与杠杆水平，力求为客户提供稳定的投资收益。</w:t>
      </w:r>
    </w:p>
    <w:p w14:paraId="261CDA0E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4.1.2 </w:t>
      </w:r>
      <w:r>
        <w:rPr>
          <w:rFonts w:hint="eastAsia" w:ascii="宋体" w:hAnsi="宋体" w:cs="宋体"/>
          <w:color w:val="000000"/>
          <w:sz w:val="24"/>
          <w:szCs w:val="24"/>
        </w:rPr>
        <w:t>投资组合的流动性风险分析</w:t>
      </w:r>
    </w:p>
    <w:p w14:paraId="27D161EE">
      <w:pPr>
        <w:spacing w:line="360" w:lineRule="auto"/>
        <w:ind w:firstLine="480" w:firstLineChars="20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本产品投资方向为固收类资产，本行审慎对国内外宏观经济形势、市场利率走势及债券市场资金供求情况综合分析，预测债券市场利率走势，结合流动性预判及各类流动性管理措施，并对各投资品种收益率、波动性、各类风险进行在控制风险的前提下，积极构建及调整投资组合，力争合理的流动性安排。</w:t>
      </w:r>
    </w:p>
    <w:p w14:paraId="6EF1F098">
      <w:pPr>
        <w:spacing w:line="360" w:lineRule="auto"/>
        <w:ind w:firstLine="480" w:firstLineChars="200"/>
        <w:jc w:val="left"/>
        <w:rPr>
          <w:rFonts w:ascii="宋体" w:hAnsi="宋体" w:cs="宋体"/>
          <w:color w:val="000000"/>
          <w:sz w:val="24"/>
          <w:szCs w:val="24"/>
        </w:rPr>
      </w:pPr>
      <w:bookmarkStart w:id="2" w:name="_GoBack"/>
      <w:bookmarkEnd w:id="2"/>
    </w:p>
    <w:p w14:paraId="489D0549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4.2 报告期末资产情况</w:t>
      </w:r>
    </w:p>
    <w:p w14:paraId="3FBFF3E9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2D4EEE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6573A77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3443D4E7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4C554B0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267756E3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间接</w:t>
            </w:r>
            <w:r>
              <w:rPr>
                <w:rFonts w:ascii="宋体" w:hAnsi="宋体"/>
                <w:b/>
                <w:sz w:val="24"/>
                <w:szCs w:val="24"/>
              </w:rPr>
              <w:t>投资</w:t>
            </w:r>
          </w:p>
        </w:tc>
      </w:tr>
      <w:tr w14:paraId="33F02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68D45B8B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634B4F3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214015E8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6DDE92FC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6074FF4F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771BB829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占产品总资产的比例（%）</w:t>
            </w:r>
          </w:p>
        </w:tc>
      </w:tr>
      <w:tr w14:paraId="2A1FEB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A6AFA8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A34EE6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ADA660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6487F4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5E09D5E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039DE1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A5B9A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558E15D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A227AC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F801A8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EEED4E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18E6ACE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17FF88C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BB170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3B833E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27E76A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9EE97D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7109C07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326BDF9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21BD3E4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54FE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D64FBD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62D40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5E02E2C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642227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4209E5F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0727C53A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05B79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1DA39C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7F5B4C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22C7AD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254,750,889.22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069F83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99.63</w:t>
            </w:r>
          </w:p>
        </w:tc>
        <w:tc>
          <w:tcPr>
            <w:tcW w:w="1653" w:type="dxa"/>
            <w:vAlign w:val="center"/>
          </w:tcPr>
          <w:p w14:paraId="4A2D4E9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969857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7A1A4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6E272F51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46148E0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9D53BB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254,750,889.22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A68B77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99.63</w:t>
            </w:r>
          </w:p>
        </w:tc>
        <w:tc>
          <w:tcPr>
            <w:tcW w:w="1653" w:type="dxa"/>
            <w:vAlign w:val="center"/>
          </w:tcPr>
          <w:p w14:paraId="599F4E2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6F82547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3904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92D376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43E543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BD8CCD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68FE079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6E0639F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32540E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7C73E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C8A308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2DD56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4BD9BC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A182F9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34DB728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0C3531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3300F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DEA7E4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7F46468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4FDB8E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12E33CC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3C1A05D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017BF2B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C8EDE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EC4B6E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F35EAE0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C18A26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6ABFCAB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57D371C9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7B3FDB3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063DB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44C8E9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0FDB28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61DA42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D827FA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0CD8FA3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F777E1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367DAC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233C06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6389E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32443A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C38465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220259F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080DDA0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4BED3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09562D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36A50E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85EC8A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D652F9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185C80C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249ED3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6D3E8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DC9636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BC5BE2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1DCF0C0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583AB2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1F155D8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59A03CB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2251E7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D1C8D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662CE1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799BAB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98D5CF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53" w:type="dxa"/>
            <w:vAlign w:val="center"/>
          </w:tcPr>
          <w:p w14:paraId="6411269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05" w:type="dxa"/>
            <w:vAlign w:val="center"/>
          </w:tcPr>
          <w:p w14:paraId="4B3A5097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</w:tr>
      <w:tr w14:paraId="1ED499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E306F7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8D22CB9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C4BDDB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946,323.31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F359F8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0.37</w:t>
            </w:r>
          </w:p>
        </w:tc>
        <w:tc>
          <w:tcPr>
            <w:tcW w:w="1653" w:type="dxa"/>
            <w:vAlign w:val="center"/>
          </w:tcPr>
          <w:p w14:paraId="2E49FC2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6EC405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CD7B2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39C060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9D5AF98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A46D0E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C58C37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569937C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44DD520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09A6C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737962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C323FF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资管</w:t>
            </w:r>
            <w:r>
              <w:rPr>
                <w:rFonts w:ascii="宋体" w:hAnsi="宋体" w:cs="宋体"/>
                <w:color w:val="000000"/>
                <w:sz w:val="24"/>
                <w:szCs w:val="24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3974E7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7FC65C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489BB9A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58F7FA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A8EF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5C7221A">
            <w:pPr>
              <w:widowControl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5FBEF8B">
            <w:pPr>
              <w:widowControl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EF7675C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31803DA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653" w:type="dxa"/>
            <w:vAlign w:val="center"/>
          </w:tcPr>
          <w:p w14:paraId="29D7D45F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  <w:vAlign w:val="center"/>
          </w:tcPr>
          <w:p w14:paraId="7C465A92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66D48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663D7649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447" w:type="dxa"/>
            <w:shd w:val="clear" w:color="auto" w:fill="auto"/>
          </w:tcPr>
          <w:p w14:paraId="7AE412DF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531F147E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255,697,212.53</w:t>
            </w:r>
          </w:p>
        </w:tc>
        <w:tc>
          <w:tcPr>
            <w:tcW w:w="1749" w:type="dxa"/>
            <w:shd w:val="clear" w:color="auto" w:fill="auto"/>
          </w:tcPr>
          <w:p w14:paraId="373E883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100.00</w:t>
            </w:r>
          </w:p>
        </w:tc>
        <w:tc>
          <w:tcPr>
            <w:tcW w:w="1653" w:type="dxa"/>
          </w:tcPr>
          <w:p w14:paraId="07250895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705" w:type="dxa"/>
          </w:tcPr>
          <w:p w14:paraId="35AACDB6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</w:tbl>
    <w:p w14:paraId="28758C42">
      <w:pPr>
        <w:ind w:left="420" w:leftChars="200"/>
        <w:jc w:val="left"/>
        <w:rPr>
          <w:rFonts w:ascii="宋体" w:hAnsi="宋体"/>
          <w:sz w:val="24"/>
        </w:rPr>
      </w:pPr>
    </w:p>
    <w:p w14:paraId="6C82E670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</w:p>
    <w:p w14:paraId="5ED9AF27">
      <w:pPr>
        <w:ind w:left="420" w:leftChars="200"/>
        <w:jc w:val="left"/>
        <w:rPr>
          <w:rFonts w:asciiTheme="minorEastAsia" w:hAnsiTheme="minorEastAsia" w:eastAsiaTheme="minorEastAsia"/>
          <w:szCs w:val="21"/>
        </w:rPr>
      </w:pPr>
    </w:p>
    <w:p w14:paraId="3DD91747">
      <w:pPr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4.3 报告期末投资前十名资产明细</w:t>
      </w:r>
    </w:p>
    <w:p w14:paraId="6F5F54AD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01FE7B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027C0DFA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5606493A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35783021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08F85DE3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占产品资产净值比例（%）</w:t>
            </w:r>
          </w:p>
        </w:tc>
      </w:tr>
      <w:tr w14:paraId="72D01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36001173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84D5E83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23中原银行永续债01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47FD3C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21,967,954.25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0FC39DF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bookmarkStart w:id="0" w:name="OLE_LINK5"/>
            <w:bookmarkStart w:id="1" w:name="OLE_LINK6"/>
            <w:r>
              <w:rPr>
                <w:rFonts w:ascii="宋体" w:hAnsi="宋体" w:cs="宋体"/>
                <w:color w:val="000000"/>
                <w:sz w:val="24"/>
                <w:szCs w:val="24"/>
              </w:rPr>
              <w:t>9.45</w:t>
            </w:r>
            <w:bookmarkEnd w:id="0"/>
            <w:bookmarkEnd w:id="1"/>
          </w:p>
        </w:tc>
      </w:tr>
      <w:tr w14:paraId="45801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6FB94DA1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76D0937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25芝罘06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7C855B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20,782,247.40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6FFC335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8.94</w:t>
            </w:r>
          </w:p>
        </w:tc>
      </w:tr>
      <w:tr w14:paraId="3F2B07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47E9EA12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DB9C9C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25日照城投PPN001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D2D311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20,608,908.22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A07C382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8.86</w:t>
            </w:r>
          </w:p>
        </w:tc>
      </w:tr>
      <w:tr w14:paraId="793CD9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28C57654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A3C62B8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25济科03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1F5184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20,554,921.92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1523E6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8.84</w:t>
            </w:r>
          </w:p>
        </w:tc>
      </w:tr>
      <w:tr w14:paraId="21EFF1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1631CFE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2359D6DF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26海诺01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71F18B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20,398,006.30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31B8FD7C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8.77</w:t>
            </w:r>
          </w:p>
        </w:tc>
      </w:tr>
      <w:tr w14:paraId="5F588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44953FD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39F91F6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25南京浦口PPN006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83BDDC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20,385,989.04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5D07C324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8.77</w:t>
            </w:r>
          </w:p>
        </w:tc>
      </w:tr>
      <w:tr w14:paraId="699261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24102D8D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11DBAC0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24华靖资产MTN003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B002AC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20,338,710.96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4E35CD7F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8.75</w:t>
            </w:r>
          </w:p>
        </w:tc>
      </w:tr>
      <w:tr w14:paraId="099272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736FCD3F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61E36BA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24鲁钢铁MTN005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5504B5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20,324,476.99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7D92975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8.74</w:t>
            </w:r>
          </w:p>
        </w:tc>
      </w:tr>
      <w:tr w14:paraId="2171E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0DFCDA6C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DCBC564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26虞控03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4065187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20,041,102.19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F0E775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8.62</w:t>
            </w:r>
          </w:p>
        </w:tc>
      </w:tr>
      <w:tr w14:paraId="687FA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</w:trPr>
        <w:tc>
          <w:tcPr>
            <w:tcW w:w="777" w:type="dxa"/>
            <w:shd w:val="clear" w:color="auto" w:fill="auto"/>
            <w:vAlign w:val="center"/>
          </w:tcPr>
          <w:p w14:paraId="527CE31F">
            <w:pPr>
              <w:ind w:hanging="1"/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5963B55D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23厦门银行永续债01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254429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19,507,254.66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2FBEF7E0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8.39</w:t>
            </w:r>
          </w:p>
        </w:tc>
      </w:tr>
    </w:tbl>
    <w:p w14:paraId="71818CC9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7CAD4AB4">
      <w:pPr>
        <w:spacing w:line="360" w:lineRule="auto"/>
        <w:ind w:right="-107" w:rightChars="-51" w:firstLine="420"/>
        <w:jc w:val="lef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注：前十项资产明细仅包含证券投资、场外投资，不包含银行存款、存出保证金、清算备付金等资产。</w:t>
      </w:r>
    </w:p>
    <w:p w14:paraId="14716C4C"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p w14:paraId="11B2E851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4.4 报告期末投资非标准化债权资产情况</w:t>
      </w:r>
    </w:p>
    <w:tbl>
      <w:tblPr>
        <w:tblStyle w:val="17"/>
        <w:tblW w:w="90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992"/>
        <w:gridCol w:w="993"/>
        <w:gridCol w:w="1291"/>
        <w:gridCol w:w="1350"/>
        <w:gridCol w:w="2133"/>
        <w:gridCol w:w="1567"/>
      </w:tblGrid>
      <w:tr w14:paraId="19EC9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704" w:type="dxa"/>
            <w:shd w:val="clear" w:color="auto" w:fill="D9D9D9"/>
            <w:vAlign w:val="center"/>
          </w:tcPr>
          <w:p w14:paraId="77FD91CC">
            <w:pPr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600EFC2F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项目名称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21B13EEA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融资客户</w:t>
            </w:r>
          </w:p>
        </w:tc>
        <w:tc>
          <w:tcPr>
            <w:tcW w:w="1291" w:type="dxa"/>
            <w:shd w:val="clear" w:color="auto" w:fill="D9D9D9"/>
            <w:vAlign w:val="center"/>
          </w:tcPr>
          <w:p w14:paraId="6C1DFCBD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剩余融资期限（天）</w:t>
            </w:r>
          </w:p>
        </w:tc>
        <w:tc>
          <w:tcPr>
            <w:tcW w:w="1350" w:type="dxa"/>
            <w:shd w:val="clear" w:color="auto" w:fill="D9D9D9"/>
            <w:vAlign w:val="center"/>
          </w:tcPr>
          <w:p w14:paraId="23D71A3F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到期收益分配</w:t>
            </w:r>
          </w:p>
        </w:tc>
        <w:tc>
          <w:tcPr>
            <w:tcW w:w="2133" w:type="dxa"/>
            <w:shd w:val="clear" w:color="auto" w:fill="D9D9D9"/>
            <w:vAlign w:val="center"/>
          </w:tcPr>
          <w:p w14:paraId="7B1F8BCC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交易结构</w:t>
            </w:r>
          </w:p>
        </w:tc>
        <w:tc>
          <w:tcPr>
            <w:tcW w:w="1567" w:type="dxa"/>
            <w:shd w:val="clear" w:color="auto" w:fill="D9D9D9"/>
            <w:vAlign w:val="center"/>
          </w:tcPr>
          <w:p w14:paraId="2B9AECF2">
            <w:pPr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风险状况</w:t>
            </w:r>
          </w:p>
        </w:tc>
      </w:tr>
      <w:tr w14:paraId="60410F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704" w:type="dxa"/>
            <w:shd w:val="clear" w:color="auto" w:fill="auto"/>
            <w:vAlign w:val="center"/>
          </w:tcPr>
          <w:p w14:paraId="25707F69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63A8A924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F0B1FDC">
            <w:pPr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291" w:type="dxa"/>
            <w:shd w:val="clear" w:color="auto" w:fill="auto"/>
            <w:vAlign w:val="center"/>
          </w:tcPr>
          <w:p w14:paraId="15421A4B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center"/>
          </w:tcPr>
          <w:p w14:paraId="54B172ED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133" w:type="dxa"/>
            <w:vAlign w:val="center"/>
          </w:tcPr>
          <w:p w14:paraId="7DEF9DDE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567" w:type="dxa"/>
            <w:vAlign w:val="center"/>
          </w:tcPr>
          <w:p w14:paraId="0D0C36D8">
            <w:pPr>
              <w:jc w:val="left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45F7A8A3">
      <w:pPr>
        <w:ind w:left="4" w:leftChars="2"/>
        <w:jc w:val="left"/>
        <w:rPr>
          <w:rFonts w:asciiTheme="minorEastAsia" w:hAnsiTheme="minorEastAsia" w:eastAsiaTheme="minorEastAsia"/>
          <w:szCs w:val="21"/>
        </w:rPr>
      </w:pPr>
    </w:p>
    <w:p w14:paraId="3E33653C">
      <w:pPr>
        <w:ind w:left="4" w:leftChars="2"/>
        <w:jc w:val="left"/>
        <w:rPr>
          <w:rFonts w:ascii="宋体" w:hAnsi="宋体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4.5 产品份额变动</w:t>
      </w:r>
    </w:p>
    <w:p w14:paraId="56BD4EEC">
      <w:pPr>
        <w:ind w:left="4" w:leftChars="2"/>
        <w:jc w:val="right"/>
        <w:rPr>
          <w:rFonts w:asciiTheme="minorEastAsia" w:hAnsiTheme="minorEastAsia" w:eastAsiaTheme="minorEastAsia"/>
          <w:szCs w:val="21"/>
        </w:rPr>
      </w:pPr>
      <w:r>
        <w:rPr>
          <w:rFonts w:hint="eastAsia" w:ascii="宋体" w:hAnsi="宋体" w:cs="宋体"/>
          <w:color w:val="000000"/>
          <w:sz w:val="24"/>
          <w:szCs w:val="24"/>
        </w:rPr>
        <w:t>单位：份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72"/>
        <w:gridCol w:w="6008"/>
      </w:tblGrid>
      <w:tr w14:paraId="28EC9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56C08B9C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报告期期初产品份额总额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62288DA3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229,972,000.00</w:t>
            </w:r>
          </w:p>
        </w:tc>
      </w:tr>
      <w:tr w14:paraId="535AE9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393298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25029A</w:t>
            </w:r>
          </w:p>
        </w:tc>
        <w:tc>
          <w:tcPr>
            <w:tcW w:w="6008" w:type="dxa"/>
            <w:shd w:val="clear" w:color="auto" w:fill="auto"/>
          </w:tcPr>
          <w:p w14:paraId="259EBD73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150,000,000.00</w:t>
            </w:r>
          </w:p>
        </w:tc>
      </w:tr>
      <w:tr w14:paraId="6B673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604FC2CA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25029B</w:t>
            </w:r>
          </w:p>
        </w:tc>
        <w:tc>
          <w:tcPr>
            <w:tcW w:w="6008" w:type="dxa"/>
            <w:shd w:val="clear" w:color="auto" w:fill="auto"/>
          </w:tcPr>
          <w:p w14:paraId="706C62D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72388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7BC068D5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25029H</w:t>
            </w:r>
          </w:p>
        </w:tc>
        <w:tc>
          <w:tcPr>
            <w:tcW w:w="6008" w:type="dxa"/>
            <w:shd w:val="clear" w:color="auto" w:fill="auto"/>
          </w:tcPr>
          <w:p w14:paraId="3A83355B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1A959F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2DA46498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25029X</w:t>
            </w:r>
          </w:p>
        </w:tc>
        <w:tc>
          <w:tcPr>
            <w:tcW w:w="6008" w:type="dxa"/>
            <w:shd w:val="clear" w:color="auto" w:fill="auto"/>
          </w:tcPr>
          <w:p w14:paraId="0E6B7B59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29,972,000.00</w:t>
            </w:r>
          </w:p>
        </w:tc>
      </w:tr>
      <w:tr w14:paraId="34472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2857C9D0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报告期期间产品总申购份额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4096B531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0.00</w:t>
            </w:r>
          </w:p>
        </w:tc>
      </w:tr>
      <w:tr w14:paraId="5D40B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7A9D7ED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报告期期间产品总赎回份额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5047DF4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-490,000.00</w:t>
            </w:r>
          </w:p>
        </w:tc>
      </w:tr>
      <w:tr w14:paraId="10DD3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152D7A5E">
            <w:pPr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报告期期末产品份额总额</w:t>
            </w:r>
          </w:p>
        </w:tc>
        <w:tc>
          <w:tcPr>
            <w:tcW w:w="6008" w:type="dxa"/>
            <w:tcMar>
              <w:top w:w="0" w:type="dxa"/>
              <w:left w:w="108" w:type="dxa"/>
              <w:bottom w:w="10" w:type="dxa"/>
              <w:right w:w="118" w:type="dxa"/>
            </w:tcMar>
          </w:tcPr>
          <w:p w14:paraId="3F353788">
            <w:pPr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color w:val="000000"/>
                <w:sz w:val="24"/>
                <w:szCs w:val="24"/>
              </w:rPr>
              <w:t>229,482,000.00</w:t>
            </w:r>
          </w:p>
        </w:tc>
      </w:tr>
      <w:tr w14:paraId="4DD1D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15D0AB79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25029A</w:t>
            </w:r>
          </w:p>
        </w:tc>
        <w:tc>
          <w:tcPr>
            <w:tcW w:w="6008" w:type="dxa"/>
            <w:shd w:val="clear" w:color="auto" w:fill="auto"/>
          </w:tcPr>
          <w:p w14:paraId="1F384438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149,510,000.00</w:t>
            </w:r>
          </w:p>
        </w:tc>
      </w:tr>
      <w:tr w14:paraId="78B2B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534C373B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25029B</w:t>
            </w:r>
          </w:p>
        </w:tc>
        <w:tc>
          <w:tcPr>
            <w:tcW w:w="6008" w:type="dxa"/>
            <w:shd w:val="clear" w:color="auto" w:fill="auto"/>
          </w:tcPr>
          <w:p w14:paraId="447E6191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30,000,000.00</w:t>
            </w:r>
          </w:p>
        </w:tc>
      </w:tr>
      <w:tr w14:paraId="7601CF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261A964C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25029H</w:t>
            </w:r>
          </w:p>
        </w:tc>
        <w:tc>
          <w:tcPr>
            <w:tcW w:w="6008" w:type="dxa"/>
            <w:shd w:val="clear" w:color="auto" w:fill="auto"/>
          </w:tcPr>
          <w:p w14:paraId="50DBE8BE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20,000,000.00</w:t>
            </w:r>
          </w:p>
        </w:tc>
      </w:tr>
      <w:tr w14:paraId="1FEB4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2972" w:type="dxa"/>
            <w:shd w:val="clear" w:color="auto" w:fill="auto"/>
          </w:tcPr>
          <w:p w14:paraId="47808220">
            <w:pPr>
              <w:ind w:hanging="1"/>
              <w:jc w:val="lef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25029X</w:t>
            </w:r>
          </w:p>
        </w:tc>
        <w:tc>
          <w:tcPr>
            <w:tcW w:w="6008" w:type="dxa"/>
            <w:shd w:val="clear" w:color="auto" w:fill="auto"/>
          </w:tcPr>
          <w:p w14:paraId="4DE21F76">
            <w:pPr>
              <w:ind w:hanging="1"/>
              <w:jc w:val="right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/>
                <w:b w:val="0"/>
                <w:i w:val="0"/>
                <w:strike w:val="0"/>
                <w:color w:val="000000"/>
                <w:sz w:val="24"/>
                <w:u w:val="none"/>
              </w:rPr>
              <w:t>29,972,000.00</w:t>
            </w:r>
          </w:p>
        </w:tc>
      </w:tr>
    </w:tbl>
    <w:p w14:paraId="548E8029">
      <w:pPr>
        <w:spacing w:line="360" w:lineRule="auto"/>
        <w:rPr>
          <w:rFonts w:hint="eastAsia" w:ascii="宋体" w:hAnsi="宋体" w:cs="宋体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4.6 投资账户信息</w:t>
      </w:r>
    </w:p>
    <w:tbl>
      <w:tblPr>
        <w:tblStyle w:val="17"/>
        <w:tblW w:w="898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1838"/>
        <w:gridCol w:w="1734"/>
        <w:gridCol w:w="3818"/>
      </w:tblGrid>
      <w:tr w14:paraId="0DD92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B8692DF">
            <w:pPr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账户类型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6C2B96A7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账户名称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7B2F73EB">
            <w:pPr>
              <w:jc w:val="both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账号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top"/>
          </w:tcPr>
          <w:p w14:paraId="35990D7D">
            <w:pPr>
              <w:jc w:val="both"/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开户行</w:t>
            </w:r>
          </w:p>
        </w:tc>
      </w:tr>
      <w:tr w14:paraId="046F2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590" w:type="dxa"/>
            <w:tcMar>
              <w:top w:w="0" w:type="dxa"/>
              <w:left w:w="118" w:type="dxa"/>
              <w:bottom w:w="10" w:type="dxa"/>
              <w:right w:w="118" w:type="dxa"/>
            </w:tcMar>
          </w:tcPr>
          <w:p w14:paraId="3C9DD430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托管账户</w:t>
            </w:r>
          </w:p>
        </w:tc>
        <w:tc>
          <w:tcPr>
            <w:tcW w:w="183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1D3251B5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中国工商银行股份有限公司山东省分行资产托管专户-齐鲁安稳泉家2025年29号</w:t>
            </w:r>
          </w:p>
        </w:tc>
        <w:tc>
          <w:tcPr>
            <w:tcW w:w="1734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3DD9B9EF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1602023929200371566</w:t>
            </w:r>
          </w:p>
        </w:tc>
        <w:tc>
          <w:tcPr>
            <w:tcW w:w="3818" w:type="dxa"/>
            <w:tcMar>
              <w:top w:w="0" w:type="dxa"/>
              <w:left w:w="108" w:type="dxa"/>
              <w:bottom w:w="10" w:type="dxa"/>
              <w:right w:w="118" w:type="dxa"/>
            </w:tcMar>
            <w:vAlign w:val="center"/>
          </w:tcPr>
          <w:p w14:paraId="46AE587F">
            <w:pP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4"/>
                <w:szCs w:val="24"/>
                <w:lang w:val="en-US" w:eastAsia="zh-CN"/>
              </w:rPr>
              <w:t>工商银行趵突泉支行</w:t>
            </w:r>
          </w:p>
        </w:tc>
      </w:tr>
    </w:tbl>
    <w:p w14:paraId="4697D097">
      <w:pPr>
        <w:spacing w:line="360" w:lineRule="auto"/>
        <w:rPr>
          <w:rFonts w:hint="default" w:ascii="宋体" w:hAnsi="宋体" w:cs="宋体"/>
          <w:color w:val="000000"/>
          <w:sz w:val="24"/>
          <w:szCs w:val="24"/>
          <w:lang w:val="en-US" w:eastAsia="zh-CN"/>
        </w:rPr>
      </w:pPr>
    </w:p>
    <w:p w14:paraId="33B0137F">
      <w:pPr>
        <w:spacing w:line="360" w:lineRule="auto"/>
        <w:rPr>
          <w:rFonts w:ascii="宋体" w:hAnsi="宋体" w:cs="宋体"/>
          <w:color w:val="000000"/>
          <w:sz w:val="24"/>
          <w:szCs w:val="24"/>
        </w:rPr>
      </w:pPr>
    </w:p>
    <w:p w14:paraId="5F1A924E">
      <w:pPr>
        <w:jc w:val="center"/>
        <w:rPr>
          <w:rFonts w:ascii="宋体" w:hAnsi="宋体"/>
          <w:bCs/>
          <w:sz w:val="33"/>
          <w:szCs w:val="33"/>
        </w:rPr>
      </w:pPr>
      <w:r>
        <w:rPr>
          <w:rFonts w:hint="eastAsia" w:ascii="宋体" w:hAnsi="宋体"/>
          <w:bCs/>
          <w:sz w:val="33"/>
          <w:szCs w:val="33"/>
        </w:rPr>
        <w:t>5  托管人报告</w:t>
      </w:r>
    </w:p>
    <w:p w14:paraId="0A43385A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托管人声明：本报告期内，资产托管人严格遵守有关法律法规、托管协议关于托管人职责的约定，尽职尽责地履行了托管职责并安全保管托管资产。</w:t>
      </w:r>
    </w:p>
    <w:p w14:paraId="7B029F23">
      <w:pPr>
        <w:spacing w:line="360" w:lineRule="auto"/>
        <w:ind w:firstLine="480" w:firstLineChars="20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 xml:space="preserve"> 在管理人提供的各项数据和信息真实、准确、有效的前提下，在托管人能够知悉和掌握的情况范围内，托管人对管理人报告中的财务数据进行了复核，未发现存在虚假记载、误导性陈述或者重大遗漏的情形。</w:t>
      </w:r>
    </w:p>
    <w:p w14:paraId="020AAEFC">
      <w:pPr>
        <w:spacing w:line="360" w:lineRule="auto"/>
        <w:ind w:firstLine="420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  <w:lang w:bidi="ar"/>
        </w:rPr>
        <w:t>特此公告。</w:t>
      </w:r>
    </w:p>
    <w:p w14:paraId="65B934BA">
      <w:pPr>
        <w:spacing w:line="360" w:lineRule="auto"/>
        <w:ind w:firstLine="420"/>
        <w:rPr>
          <w:rFonts w:eastAsia="Times New Roman"/>
        </w:rPr>
      </w:pPr>
      <w:r>
        <w:rPr>
          <w:rFonts w:ascii="Calibri" w:hAnsi="Calibri" w:eastAsia="Calibri" w:cs="Calibri"/>
          <w:szCs w:val="21"/>
        </w:rPr>
        <w:t> </w:t>
      </w:r>
    </w:p>
    <w:p w14:paraId="1B54927B">
      <w:pPr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齐鲁银行股份有限公司</w:t>
      </w:r>
    </w:p>
    <w:p w14:paraId="6AB8F74C">
      <w:pPr>
        <w:ind w:firstLine="400"/>
        <w:jc w:val="right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2026-08-29</w:t>
      </w:r>
    </w:p>
    <w:p w14:paraId="3E870CE7">
      <w:pPr>
        <w:jc w:val="righ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start="1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1E4A42"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 w14:paraId="106BA3DF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6B1491"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101F71E4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305A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A8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1A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6D1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8F5"/>
    <w:rsid w:val="00131F63"/>
    <w:rsid w:val="001321D3"/>
    <w:rsid w:val="001367E6"/>
    <w:rsid w:val="0013763A"/>
    <w:rsid w:val="00137F13"/>
    <w:rsid w:val="00140432"/>
    <w:rsid w:val="00142BF7"/>
    <w:rsid w:val="001431D2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76115"/>
    <w:rsid w:val="0019201F"/>
    <w:rsid w:val="00193F23"/>
    <w:rsid w:val="00196688"/>
    <w:rsid w:val="001A6A60"/>
    <w:rsid w:val="001A6DCE"/>
    <w:rsid w:val="001B0D81"/>
    <w:rsid w:val="001B2258"/>
    <w:rsid w:val="001B3575"/>
    <w:rsid w:val="001B43F0"/>
    <w:rsid w:val="001B6489"/>
    <w:rsid w:val="001C4ACD"/>
    <w:rsid w:val="001C5999"/>
    <w:rsid w:val="001D364E"/>
    <w:rsid w:val="001D61DA"/>
    <w:rsid w:val="001E1A37"/>
    <w:rsid w:val="001E27AF"/>
    <w:rsid w:val="001E2A08"/>
    <w:rsid w:val="001E4B7A"/>
    <w:rsid w:val="001E5E17"/>
    <w:rsid w:val="001E7354"/>
    <w:rsid w:val="001E7E3E"/>
    <w:rsid w:val="001F28F0"/>
    <w:rsid w:val="001F4ADC"/>
    <w:rsid w:val="001F5BAE"/>
    <w:rsid w:val="001F7D68"/>
    <w:rsid w:val="00203B47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6FB5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0418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48"/>
    <w:rsid w:val="00352670"/>
    <w:rsid w:val="00353071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5970"/>
    <w:rsid w:val="00386B5A"/>
    <w:rsid w:val="00391B1F"/>
    <w:rsid w:val="00392524"/>
    <w:rsid w:val="0039364C"/>
    <w:rsid w:val="00393CB1"/>
    <w:rsid w:val="003942F4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64C"/>
    <w:rsid w:val="0041580B"/>
    <w:rsid w:val="00415C27"/>
    <w:rsid w:val="00415F33"/>
    <w:rsid w:val="004169FD"/>
    <w:rsid w:val="00420876"/>
    <w:rsid w:val="0042283D"/>
    <w:rsid w:val="00422CE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31F4"/>
    <w:rsid w:val="00524996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56DA2"/>
    <w:rsid w:val="00560EAF"/>
    <w:rsid w:val="00572059"/>
    <w:rsid w:val="00573E83"/>
    <w:rsid w:val="00575762"/>
    <w:rsid w:val="005775FA"/>
    <w:rsid w:val="00583550"/>
    <w:rsid w:val="00591622"/>
    <w:rsid w:val="005947ED"/>
    <w:rsid w:val="00596277"/>
    <w:rsid w:val="00596803"/>
    <w:rsid w:val="005A6657"/>
    <w:rsid w:val="005B0572"/>
    <w:rsid w:val="005B19E8"/>
    <w:rsid w:val="005B6C71"/>
    <w:rsid w:val="005B7EF7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27DC0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2BA8"/>
    <w:rsid w:val="006A307A"/>
    <w:rsid w:val="006B0B91"/>
    <w:rsid w:val="006B24E7"/>
    <w:rsid w:val="006B554E"/>
    <w:rsid w:val="006B5B87"/>
    <w:rsid w:val="006B77BE"/>
    <w:rsid w:val="006C21A8"/>
    <w:rsid w:val="006C49D3"/>
    <w:rsid w:val="006C71D5"/>
    <w:rsid w:val="006C742E"/>
    <w:rsid w:val="006D4D97"/>
    <w:rsid w:val="006D78DE"/>
    <w:rsid w:val="006E2B12"/>
    <w:rsid w:val="006E3BE7"/>
    <w:rsid w:val="006E5986"/>
    <w:rsid w:val="006E5F79"/>
    <w:rsid w:val="006E6073"/>
    <w:rsid w:val="006E72DC"/>
    <w:rsid w:val="006E7D51"/>
    <w:rsid w:val="006F01F5"/>
    <w:rsid w:val="006F05AC"/>
    <w:rsid w:val="006F1E99"/>
    <w:rsid w:val="006F26FB"/>
    <w:rsid w:val="006F2A9A"/>
    <w:rsid w:val="006F33DF"/>
    <w:rsid w:val="006F3BCC"/>
    <w:rsid w:val="00710F9C"/>
    <w:rsid w:val="00711860"/>
    <w:rsid w:val="00714D1B"/>
    <w:rsid w:val="00717029"/>
    <w:rsid w:val="00720312"/>
    <w:rsid w:val="0072202C"/>
    <w:rsid w:val="0072288E"/>
    <w:rsid w:val="00727121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3DEB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B3FDF"/>
    <w:rsid w:val="007C00B5"/>
    <w:rsid w:val="007C271F"/>
    <w:rsid w:val="007D4695"/>
    <w:rsid w:val="007D5F69"/>
    <w:rsid w:val="007D7D2D"/>
    <w:rsid w:val="007E22BB"/>
    <w:rsid w:val="007E24A8"/>
    <w:rsid w:val="007E6BBB"/>
    <w:rsid w:val="007F261A"/>
    <w:rsid w:val="007F4389"/>
    <w:rsid w:val="0080135F"/>
    <w:rsid w:val="00802F9D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466A5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16D8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0656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2C76"/>
    <w:rsid w:val="00932DEA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2AB"/>
    <w:rsid w:val="0097695A"/>
    <w:rsid w:val="00982515"/>
    <w:rsid w:val="00985C6F"/>
    <w:rsid w:val="00987DA5"/>
    <w:rsid w:val="00996119"/>
    <w:rsid w:val="009A10CD"/>
    <w:rsid w:val="009A7588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2D2A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AF6371"/>
    <w:rsid w:val="00B01D6A"/>
    <w:rsid w:val="00B0308C"/>
    <w:rsid w:val="00B10E20"/>
    <w:rsid w:val="00B13755"/>
    <w:rsid w:val="00B14EDA"/>
    <w:rsid w:val="00B15B26"/>
    <w:rsid w:val="00B15EA7"/>
    <w:rsid w:val="00B218BF"/>
    <w:rsid w:val="00B273A3"/>
    <w:rsid w:val="00B27FD9"/>
    <w:rsid w:val="00B30A58"/>
    <w:rsid w:val="00B33E1B"/>
    <w:rsid w:val="00B343B8"/>
    <w:rsid w:val="00B347A3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84C"/>
    <w:rsid w:val="00B73D60"/>
    <w:rsid w:val="00B7675B"/>
    <w:rsid w:val="00B80918"/>
    <w:rsid w:val="00B81709"/>
    <w:rsid w:val="00B82529"/>
    <w:rsid w:val="00B82FD4"/>
    <w:rsid w:val="00B91227"/>
    <w:rsid w:val="00B9280A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0CCC"/>
    <w:rsid w:val="00BF2E9E"/>
    <w:rsid w:val="00BF5021"/>
    <w:rsid w:val="00BF625D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521"/>
    <w:rsid w:val="00C41372"/>
    <w:rsid w:val="00C41F00"/>
    <w:rsid w:val="00C41FD7"/>
    <w:rsid w:val="00C4406A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A5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271"/>
    <w:rsid w:val="00D06468"/>
    <w:rsid w:val="00D1017D"/>
    <w:rsid w:val="00D11282"/>
    <w:rsid w:val="00D11D55"/>
    <w:rsid w:val="00D14569"/>
    <w:rsid w:val="00D15AFB"/>
    <w:rsid w:val="00D15B0F"/>
    <w:rsid w:val="00D25096"/>
    <w:rsid w:val="00D2614B"/>
    <w:rsid w:val="00D3035E"/>
    <w:rsid w:val="00D30B4B"/>
    <w:rsid w:val="00D31FD3"/>
    <w:rsid w:val="00D3496C"/>
    <w:rsid w:val="00D35F7B"/>
    <w:rsid w:val="00D3643E"/>
    <w:rsid w:val="00D40841"/>
    <w:rsid w:val="00D411DB"/>
    <w:rsid w:val="00D452EA"/>
    <w:rsid w:val="00D54504"/>
    <w:rsid w:val="00D57ABE"/>
    <w:rsid w:val="00D60D0A"/>
    <w:rsid w:val="00D63034"/>
    <w:rsid w:val="00D664DF"/>
    <w:rsid w:val="00D679E8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16C03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213D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701"/>
    <w:rsid w:val="00F34D29"/>
    <w:rsid w:val="00F35C2C"/>
    <w:rsid w:val="00F36C13"/>
    <w:rsid w:val="00F43944"/>
    <w:rsid w:val="00F44F0C"/>
    <w:rsid w:val="00F45974"/>
    <w:rsid w:val="00F45EFD"/>
    <w:rsid w:val="00F51B8A"/>
    <w:rsid w:val="00F52438"/>
    <w:rsid w:val="00F53A4B"/>
    <w:rsid w:val="00F64D16"/>
    <w:rsid w:val="00F65B50"/>
    <w:rsid w:val="00F66D00"/>
    <w:rsid w:val="00F67B3D"/>
    <w:rsid w:val="00F733D2"/>
    <w:rsid w:val="00F87CF1"/>
    <w:rsid w:val="00F906DF"/>
    <w:rsid w:val="00F926DD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A6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1B7772E4"/>
    <w:rsid w:val="2A0F0CCD"/>
    <w:rsid w:val="3F6778EF"/>
    <w:rsid w:val="46A87316"/>
    <w:rsid w:val="4746708A"/>
    <w:rsid w:val="486B3264"/>
    <w:rsid w:val="541F3E53"/>
    <w:rsid w:val="59CF39D5"/>
    <w:rsid w:val="5E927177"/>
    <w:rsid w:val="63FA7DBC"/>
    <w:rsid w:val="6ACC0B2B"/>
    <w:rsid w:val="78A05E31"/>
    <w:rsid w:val="7E456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35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MsoNormal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paragraph" w:customStyle="1" w:styleId="52">
    <w:name w:val="p"/>
    <w:basedOn w:val="1"/>
    <w:qFormat/>
    <w:uiPriority w:val="0"/>
    <w:pPr>
      <w:widowControl/>
      <w:jc w:val="left"/>
    </w:pPr>
    <w:rPr>
      <w:kern w:val="0"/>
      <w:sz w:val="24"/>
      <w:szCs w:val="24"/>
    </w:rPr>
  </w:style>
  <w:style w:type="character" w:customStyle="1" w:styleId="5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6A3438-05E5-4974-986F-B8135B59055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6</Pages>
  <Words>393</Words>
  <Characters>2242</Characters>
  <Lines>18</Lines>
  <Paragraphs>5</Paragraphs>
  <TotalTime>0</TotalTime>
  <ScaleCrop>false</ScaleCrop>
  <LinksUpToDate>false</LinksUpToDate>
  <CharactersWithSpaces>2630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董鲁豫</cp:lastModifiedBy>
  <cp:lastPrinted>2411-12-31T15:59:00Z</cp:lastPrinted>
  <dcterms:modified xsi:type="dcterms:W3CDTF">2026-07-24T07:07:51Z</dcterms:modified>
  <dc:title>gongGaoMingCheng</dc:title>
  <cp:revision>192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74128E040AC64E1FACE515C7E3649458</vt:lpwstr>
  </property>
</Properties>
</file>