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CDD0938">
      <w:pPr>
        <w:rPr>
          <w:sz w:val="48"/>
        </w:rPr>
      </w:pPr>
    </w:p>
    <w:p w14:paraId="5B4CD227">
      <w:pPr>
        <w:rPr>
          <w:sz w:val="48"/>
        </w:rPr>
      </w:pPr>
    </w:p>
    <w:p w14:paraId="03A71668">
      <w:pPr>
        <w:jc w:val="center"/>
        <w:rPr>
          <w:rFonts w:ascii="宋体" w:hAnsi="宋体"/>
          <w:b/>
          <w:bCs/>
          <w:sz w:val="48"/>
          <w:szCs w:val="30"/>
        </w:rPr>
      </w:pPr>
      <w:r>
        <w:rPr>
          <w:rFonts w:ascii="宋体" w:hAnsi="宋体"/>
          <w:b/>
          <w:bCs/>
          <w:sz w:val="48"/>
          <w:szCs w:val="30"/>
        </w:rPr>
        <w:t xml:space="preserve">天天盈9号 </w:t>
      </w:r>
    </w:p>
    <w:p w14:paraId="20828603">
      <w:pPr>
        <w:jc w:val="center"/>
        <w:rPr>
          <w:rFonts w:ascii="宋体" w:hAnsi="宋体"/>
          <w:b/>
          <w:bCs/>
          <w:sz w:val="48"/>
          <w:szCs w:val="30"/>
        </w:rPr>
      </w:pPr>
      <w:r>
        <w:rPr>
          <w:rFonts w:ascii="宋体" w:hAnsi="宋体"/>
          <w:b/>
          <w:bCs/>
          <w:sz w:val="48"/>
          <w:szCs w:val="30"/>
        </w:rPr>
        <w:t>2026年半年度</w:t>
      </w:r>
      <w:r>
        <w:rPr>
          <w:rFonts w:hint="eastAsia" w:ascii="宋体" w:hAnsi="宋体"/>
          <w:b/>
          <w:bCs/>
          <w:sz w:val="48"/>
          <w:szCs w:val="30"/>
        </w:rPr>
        <w:t>报告</w:t>
      </w:r>
    </w:p>
    <w:p w14:paraId="46A2880A">
      <w:pPr>
        <w:jc w:val="center"/>
        <w:rPr>
          <w:rFonts w:ascii="宋体" w:hAnsi="宋体"/>
          <w:b/>
          <w:bCs/>
          <w:sz w:val="28"/>
          <w:szCs w:val="30"/>
        </w:rPr>
      </w:pPr>
    </w:p>
    <w:p w14:paraId="7C43E2E1">
      <w:pPr>
        <w:jc w:val="center"/>
        <w:rPr>
          <w:rFonts w:ascii="宋体" w:hAnsi="宋体"/>
          <w:sz w:val="28"/>
          <w:szCs w:val="30"/>
        </w:rPr>
      </w:pPr>
    </w:p>
    <w:p w14:paraId="45284D7A">
      <w:pPr>
        <w:jc w:val="center"/>
        <w:rPr>
          <w:rFonts w:ascii="宋体" w:hAnsi="宋体"/>
          <w:sz w:val="28"/>
          <w:szCs w:val="30"/>
        </w:rPr>
      </w:pPr>
    </w:p>
    <w:p w14:paraId="322A672F">
      <w:pPr>
        <w:jc w:val="center"/>
        <w:rPr>
          <w:rFonts w:ascii="宋体" w:hAnsi="宋体"/>
          <w:sz w:val="28"/>
          <w:szCs w:val="30"/>
        </w:rPr>
      </w:pPr>
    </w:p>
    <w:p w14:paraId="2A86F37B">
      <w:pPr>
        <w:jc w:val="center"/>
        <w:rPr>
          <w:rFonts w:ascii="宋体" w:hAnsi="宋体"/>
          <w:sz w:val="28"/>
          <w:szCs w:val="30"/>
        </w:rPr>
      </w:pPr>
    </w:p>
    <w:p w14:paraId="1F0431DB">
      <w:pPr>
        <w:jc w:val="center"/>
        <w:rPr>
          <w:rFonts w:ascii="宋体" w:hAnsi="宋体"/>
          <w:sz w:val="28"/>
          <w:szCs w:val="30"/>
        </w:rPr>
      </w:pPr>
    </w:p>
    <w:p w14:paraId="07DE24C0">
      <w:pPr>
        <w:jc w:val="center"/>
        <w:rPr>
          <w:rFonts w:ascii="宋体" w:hAnsi="宋体"/>
          <w:sz w:val="28"/>
          <w:szCs w:val="30"/>
        </w:rPr>
      </w:pPr>
    </w:p>
    <w:p w14:paraId="5A906C23">
      <w:pPr>
        <w:jc w:val="center"/>
        <w:rPr>
          <w:rFonts w:ascii="宋体" w:hAnsi="宋体"/>
          <w:sz w:val="28"/>
          <w:szCs w:val="30"/>
        </w:rPr>
      </w:pPr>
    </w:p>
    <w:p w14:paraId="1C2A17DC">
      <w:pPr>
        <w:jc w:val="center"/>
        <w:rPr>
          <w:rFonts w:ascii="宋体" w:hAnsi="宋体"/>
          <w:sz w:val="28"/>
          <w:szCs w:val="30"/>
        </w:rPr>
      </w:pPr>
    </w:p>
    <w:p w14:paraId="7A5238F2">
      <w:pPr>
        <w:jc w:val="center"/>
        <w:rPr>
          <w:rFonts w:ascii="宋体" w:hAnsi="宋体"/>
          <w:sz w:val="28"/>
          <w:szCs w:val="30"/>
        </w:rPr>
      </w:pPr>
    </w:p>
    <w:p w14:paraId="4CB5D261">
      <w:pPr>
        <w:jc w:val="center"/>
        <w:rPr>
          <w:rFonts w:ascii="宋体" w:hAnsi="宋体"/>
          <w:sz w:val="28"/>
          <w:szCs w:val="30"/>
        </w:rPr>
      </w:pPr>
    </w:p>
    <w:p w14:paraId="71DF2FC1">
      <w:pPr>
        <w:jc w:val="center"/>
        <w:rPr>
          <w:rFonts w:ascii="宋体" w:hAnsi="宋体"/>
          <w:sz w:val="28"/>
          <w:szCs w:val="30"/>
        </w:rPr>
      </w:pPr>
    </w:p>
    <w:p w14:paraId="316920EC">
      <w:pPr>
        <w:ind w:firstLine="1687" w:firstLineChars="600"/>
        <w:jc w:val="left"/>
        <w:rPr>
          <w:rFonts w:ascii="宋体" w:hAnsi="宋体"/>
          <w:b/>
          <w:bCs/>
          <w:sz w:val="28"/>
          <w:szCs w:val="30"/>
        </w:rPr>
      </w:pPr>
      <w:r>
        <w:rPr>
          <w:rFonts w:ascii="宋体" w:hAnsi="宋体"/>
          <w:b/>
          <w:bCs/>
          <w:sz w:val="28"/>
          <w:szCs w:val="30"/>
        </w:rPr>
        <w:t>产品管理人：齐鲁银行股份有限公司</w:t>
      </w:r>
    </w:p>
    <w:p w14:paraId="357B2FC9">
      <w:pPr>
        <w:ind w:firstLine="1687" w:firstLineChars="600"/>
        <w:jc w:val="left"/>
        <w:rPr>
          <w:rFonts w:ascii="宋体" w:hAnsi="宋体"/>
          <w:b/>
          <w:bCs/>
          <w:sz w:val="28"/>
          <w:szCs w:val="30"/>
        </w:rPr>
      </w:pPr>
      <w:r>
        <w:rPr>
          <w:rFonts w:ascii="宋体" w:hAnsi="宋体"/>
          <w:b/>
          <w:bCs/>
          <w:sz w:val="28"/>
          <w:szCs w:val="30"/>
        </w:rPr>
        <w:t>产品托管人：招商银行股份有限公司</w:t>
      </w:r>
    </w:p>
    <w:p w14:paraId="0BA70161">
      <w:pPr>
        <w:ind w:firstLine="1680" w:firstLineChars="600"/>
        <w:jc w:val="left"/>
        <w:rPr>
          <w:rFonts w:ascii="宋体" w:hAnsi="宋体"/>
          <w:sz w:val="28"/>
          <w:szCs w:val="30"/>
        </w:rPr>
      </w:pPr>
    </w:p>
    <w:p w14:paraId="239AAF16">
      <w:pPr>
        <w:ind w:firstLine="1680" w:firstLineChars="600"/>
        <w:jc w:val="left"/>
        <w:rPr>
          <w:rFonts w:ascii="宋体" w:hAnsi="宋体"/>
          <w:sz w:val="28"/>
          <w:szCs w:val="30"/>
        </w:rPr>
      </w:pPr>
    </w:p>
    <w:p w14:paraId="52CD3724">
      <w:pPr>
        <w:ind w:firstLine="1680" w:firstLineChars="600"/>
        <w:jc w:val="left"/>
        <w:rPr>
          <w:rFonts w:ascii="宋体" w:hAnsi="宋体"/>
          <w:sz w:val="28"/>
          <w:szCs w:val="30"/>
        </w:rPr>
      </w:pPr>
    </w:p>
    <w:p w14:paraId="761CCAA5">
      <w:pPr>
        <w:rPr>
          <w:rFonts w:ascii="宋体" w:hAnsi="宋体"/>
          <w:sz w:val="28"/>
          <w:szCs w:val="30"/>
        </w:rPr>
      </w:pPr>
    </w:p>
    <w:p w14:paraId="78751409">
      <w:pPr>
        <w:jc w:val="center"/>
        <w:rPr>
          <w:rFonts w:ascii="宋体" w:hAnsi="宋体"/>
          <w:b/>
          <w:bCs/>
          <w:sz w:val="28"/>
          <w:szCs w:val="30"/>
        </w:rPr>
      </w:pPr>
    </w:p>
    <w:p w14:paraId="23E6DD3C">
      <w:pPr>
        <w:jc w:val="center"/>
        <w:rPr>
          <w:rFonts w:ascii="宋体" w:hAnsi="宋体"/>
          <w:bCs/>
          <w:sz w:val="33"/>
          <w:szCs w:val="33"/>
        </w:rPr>
      </w:pPr>
      <w:r>
        <w:rPr>
          <w:rFonts w:hint="eastAsia" w:ascii="宋体" w:hAnsi="宋体"/>
          <w:bCs/>
          <w:sz w:val="33"/>
          <w:szCs w:val="33"/>
        </w:rPr>
        <w:t>1</w:t>
      </w:r>
      <w:r>
        <w:rPr>
          <w:rFonts w:ascii="宋体" w:hAnsi="宋体"/>
          <w:bCs/>
          <w:sz w:val="33"/>
          <w:szCs w:val="33"/>
        </w:rPr>
        <w:t xml:space="preserve"> </w:t>
      </w:r>
      <w:r>
        <w:rPr>
          <w:rFonts w:hint="eastAsia" w:ascii="宋体" w:hAnsi="宋体"/>
          <w:bCs/>
          <w:sz w:val="33"/>
          <w:szCs w:val="33"/>
        </w:rPr>
        <w:t>重要提示</w:t>
      </w:r>
    </w:p>
    <w:p w14:paraId="0612B8C2">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产品管理人的董事会及董事保证本报告所载资料不存在虚假记载、误导性陈述或重大遗漏，并对其内容的真实性、准确性和完整性承担个别及连带责任。</w:t>
      </w:r>
    </w:p>
    <w:p w14:paraId="7354980E">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产品管理人承诺以诚实信用、勤勉尽责的原则管理和运用产品资产，但不保证产品一定盈利。　</w:t>
      </w:r>
    </w:p>
    <w:p w14:paraId="77CF40EB">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产品的过往业绩并不代表其未来表现。投资有风险，投资者在作出投资决策前应仔细阅读本产品的产品说明书。</w:t>
      </w:r>
    </w:p>
    <w:p w14:paraId="5A5F2521">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本报告中财务资料未经审计。</w:t>
      </w:r>
    </w:p>
    <w:p w14:paraId="26DFD2E8">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本</w:t>
      </w:r>
      <w:r>
        <w:rPr>
          <w:rFonts w:ascii="宋体" w:hAnsi="宋体" w:cs="宋体"/>
          <w:color w:val="000000"/>
          <w:sz w:val="24"/>
          <w:szCs w:val="24"/>
        </w:rPr>
        <w:t>报告期</w:t>
      </w:r>
      <w:r>
        <w:rPr>
          <w:rFonts w:hint="eastAsia" w:ascii="宋体" w:hAnsi="宋体" w:cs="宋体"/>
          <w:color w:val="000000"/>
          <w:sz w:val="24"/>
          <w:szCs w:val="24"/>
        </w:rPr>
        <w:t>自 2026-01-01</w:t>
      </w:r>
      <w:r>
        <w:rPr>
          <w:rFonts w:ascii="宋体" w:hAnsi="宋体" w:cs="宋体"/>
          <w:color w:val="000000"/>
          <w:sz w:val="24"/>
          <w:szCs w:val="24"/>
        </w:rPr>
        <w:t xml:space="preserve"> </w:t>
      </w:r>
      <w:r>
        <w:rPr>
          <w:rFonts w:hint="eastAsia" w:ascii="宋体" w:hAnsi="宋体" w:cs="宋体"/>
          <w:color w:val="000000"/>
          <w:sz w:val="24"/>
          <w:szCs w:val="24"/>
        </w:rPr>
        <w:t>起至 2026-06-30</w:t>
      </w:r>
      <w:r>
        <w:rPr>
          <w:rFonts w:ascii="宋体" w:hAnsi="宋体" w:cs="宋体"/>
          <w:color w:val="000000"/>
          <w:sz w:val="24"/>
          <w:szCs w:val="24"/>
        </w:rPr>
        <w:t xml:space="preserve"> 止。</w:t>
      </w:r>
    </w:p>
    <w:p w14:paraId="2A8E3A56">
      <w:pPr>
        <w:jc w:val="center"/>
        <w:rPr>
          <w:rFonts w:ascii="宋体" w:hAnsi="宋体"/>
          <w:bCs/>
          <w:sz w:val="33"/>
          <w:szCs w:val="33"/>
        </w:rPr>
      </w:pPr>
      <w:r>
        <w:rPr>
          <w:rFonts w:hint="eastAsia" w:ascii="宋体" w:hAnsi="宋体"/>
          <w:bCs/>
          <w:sz w:val="33"/>
          <w:szCs w:val="33"/>
        </w:rPr>
        <w:t>2</w:t>
      </w:r>
      <w:r>
        <w:rPr>
          <w:rFonts w:ascii="宋体" w:hAnsi="宋体"/>
          <w:bCs/>
          <w:sz w:val="33"/>
          <w:szCs w:val="33"/>
        </w:rPr>
        <w:t xml:space="preserve"> </w:t>
      </w:r>
      <w:r>
        <w:rPr>
          <w:rFonts w:hint="eastAsia" w:ascii="宋体" w:hAnsi="宋体"/>
          <w:bCs/>
          <w:sz w:val="33"/>
          <w:szCs w:val="33"/>
        </w:rPr>
        <w:t xml:space="preserve">产品概况 </w:t>
      </w:r>
    </w:p>
    <w:tbl>
      <w:tblPr>
        <w:tblStyle w:val="17"/>
        <w:tblW w:w="9000" w:type="dxa"/>
        <w:jc w:val="center"/>
        <w:tblCellSpacing w:w="8" w:type="dxa"/>
        <w:tblLayout w:type="fixed"/>
        <w:tblCellMar>
          <w:top w:w="0" w:type="dxa"/>
          <w:left w:w="108" w:type="dxa"/>
          <w:bottom w:w="0" w:type="dxa"/>
          <w:right w:w="108" w:type="dxa"/>
        </w:tblCellMar>
      </w:tblPr>
      <w:tblGrid>
        <w:gridCol w:w="9000"/>
      </w:tblGrid>
      <w:tr w14:paraId="26FB1866">
        <w:tblPrEx>
          <w:tblCellMar>
            <w:top w:w="0" w:type="dxa"/>
            <w:left w:w="108" w:type="dxa"/>
            <w:bottom w:w="0" w:type="dxa"/>
            <w:right w:w="108" w:type="dxa"/>
          </w:tblCellMar>
        </w:tblPrEx>
        <w:trPr>
          <w:tblCellSpacing w:w="8" w:type="dxa"/>
          <w:jc w:val="center"/>
        </w:trPr>
        <w:tc>
          <w:tcPr>
            <w:tcW w:w="8968" w:type="dxa"/>
            <w:tcMar>
              <w:top w:w="15" w:type="dxa"/>
              <w:left w:w="15" w:type="dxa"/>
              <w:bottom w:w="15" w:type="dxa"/>
              <w:right w:w="15" w:type="dxa"/>
            </w:tcMar>
            <w:vAlign w:val="center"/>
          </w:tcPr>
          <w:p w14:paraId="06A1634C">
            <w:pPr>
              <w:rPr>
                <w:rFonts w:eastAsia="Times New Roman"/>
                <w:color w:val="000000"/>
                <w:sz w:val="24"/>
                <w:szCs w:val="24"/>
              </w:rPr>
            </w:pPr>
            <w:r>
              <w:rPr>
                <w:rFonts w:hint="eastAsia" w:ascii="宋体" w:hAnsi="宋体" w:cs="宋体"/>
                <w:color w:val="000000"/>
                <w:sz w:val="24"/>
                <w:szCs w:val="24"/>
              </w:rPr>
              <w:t>2.1 产品基本情况</w:t>
            </w:r>
          </w:p>
        </w:tc>
      </w:tr>
    </w:tbl>
    <w:p w14:paraId="74C2EE9A">
      <w:pPr>
        <w:rPr>
          <w:vanish/>
          <w:sz w:val="24"/>
          <w:szCs w:val="24"/>
        </w:rPr>
      </w:pPr>
    </w:p>
    <w:tbl>
      <w:tblPr>
        <w:tblStyle w:val="17"/>
        <w:tblW w:w="8980" w:type="dxa"/>
        <w:jc w:val="center"/>
        <w:tblLayout w:type="fixed"/>
        <w:tblCellMar>
          <w:top w:w="0" w:type="dxa"/>
          <w:left w:w="108" w:type="dxa"/>
          <w:bottom w:w="0" w:type="dxa"/>
          <w:right w:w="108" w:type="dxa"/>
        </w:tblCellMar>
      </w:tblPr>
      <w:tblGrid>
        <w:gridCol w:w="4497"/>
        <w:gridCol w:w="4483"/>
      </w:tblGrid>
      <w:tr w14:paraId="7DC00602">
        <w:tblPrEx>
          <w:tblCellMar>
            <w:top w:w="0" w:type="dxa"/>
            <w:left w:w="108" w:type="dxa"/>
            <w:bottom w:w="0" w:type="dxa"/>
            <w:right w:w="108" w:type="dxa"/>
          </w:tblCellMar>
        </w:tblPrEx>
        <w:trPr>
          <w:trHeight w:val="300" w:hRule="atLeast"/>
          <w:jc w:val="center"/>
        </w:trPr>
        <w:tc>
          <w:tcPr>
            <w:tcW w:w="4497" w:type="dxa"/>
            <w:tcBorders>
              <w:top w:val="single" w:color="000000" w:sz="8" w:space="0"/>
              <w:left w:val="single" w:color="000000" w:sz="8" w:space="0"/>
              <w:bottom w:val="single" w:color="000000" w:sz="8" w:space="0"/>
              <w:right w:val="single" w:color="000000" w:sz="8" w:space="0"/>
            </w:tcBorders>
            <w:tcMar>
              <w:top w:w="10" w:type="dxa"/>
              <w:left w:w="118" w:type="dxa"/>
              <w:bottom w:w="10" w:type="dxa"/>
              <w:right w:w="118" w:type="dxa"/>
            </w:tcMar>
          </w:tcPr>
          <w:p w14:paraId="60F9210D">
            <w:pPr>
              <w:pStyle w:val="51"/>
              <w:spacing w:line="320" w:lineRule="atLeast"/>
              <w:rPr>
                <w:rFonts w:ascii="宋体" w:hAnsi="宋体" w:cs="宋体"/>
                <w:color w:val="000000"/>
                <w:kern w:val="2"/>
              </w:rPr>
            </w:pPr>
            <w:r>
              <w:rPr>
                <w:rFonts w:hint="eastAsia" w:ascii="宋体" w:hAnsi="宋体" w:cs="宋体"/>
                <w:color w:val="000000"/>
                <w:kern w:val="2"/>
              </w:rPr>
              <w:t>产品中文商业全称</w:t>
            </w:r>
          </w:p>
        </w:tc>
        <w:tc>
          <w:tcPr>
            <w:tcW w:w="4483" w:type="dxa"/>
            <w:tcBorders>
              <w:top w:val="single" w:color="000000" w:sz="8" w:space="0"/>
              <w:left w:val="nil"/>
              <w:bottom w:val="single" w:color="000000" w:sz="8" w:space="0"/>
              <w:right w:val="single" w:color="000000" w:sz="8" w:space="0"/>
            </w:tcBorders>
            <w:tcMar>
              <w:top w:w="10" w:type="dxa"/>
              <w:left w:w="108" w:type="dxa"/>
              <w:bottom w:w="10" w:type="dxa"/>
              <w:right w:w="118" w:type="dxa"/>
            </w:tcMar>
          </w:tcPr>
          <w:p w14:paraId="47D12E7A">
            <w:pPr>
              <w:pStyle w:val="51"/>
              <w:rPr>
                <w:rFonts w:ascii="宋体" w:hAnsi="宋体" w:cs="宋体"/>
                <w:color w:val="000000"/>
                <w:kern w:val="2"/>
              </w:rPr>
            </w:pPr>
            <w:r>
              <w:rPr>
                <w:rFonts w:hint="eastAsia" w:ascii="宋体" w:hAnsi="宋体" w:cs="宋体"/>
                <w:color w:val="000000"/>
                <w:kern w:val="2"/>
              </w:rPr>
              <w:t>天天盈9号</w:t>
            </w:r>
          </w:p>
        </w:tc>
      </w:tr>
      <w:tr w14:paraId="534536A9">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39270F4C">
            <w:pPr>
              <w:pStyle w:val="51"/>
              <w:spacing w:line="320" w:lineRule="atLeast"/>
              <w:rPr>
                <w:rFonts w:ascii="宋体" w:hAnsi="宋体" w:cs="宋体"/>
                <w:color w:val="000000"/>
                <w:kern w:val="2"/>
              </w:rPr>
            </w:pPr>
            <w:r>
              <w:rPr>
                <w:rFonts w:hint="eastAsia" w:ascii="宋体" w:hAnsi="宋体" w:cs="宋体"/>
                <w:color w:val="000000"/>
                <w:kern w:val="2"/>
              </w:rPr>
              <w:t>产品登记编码</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12FF4556">
            <w:pPr>
              <w:pStyle w:val="51"/>
              <w:rPr>
                <w:rFonts w:ascii="宋体" w:hAnsi="宋体" w:cs="宋体"/>
                <w:color w:val="000000"/>
                <w:kern w:val="2"/>
              </w:rPr>
            </w:pPr>
            <w:r>
              <w:rPr>
                <w:rFonts w:hint="eastAsia" w:ascii="宋体" w:hAnsi="宋体" w:cs="宋体"/>
                <w:color w:val="000000"/>
                <w:kern w:val="2"/>
              </w:rPr>
              <w:t xml:space="preserve">C1088121000150 </w:t>
            </w:r>
          </w:p>
        </w:tc>
      </w:tr>
      <w:tr w14:paraId="7D815D73">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7CEAE8B0">
            <w:pPr>
              <w:pStyle w:val="51"/>
              <w:spacing w:line="320" w:lineRule="atLeast"/>
              <w:rPr>
                <w:rFonts w:ascii="宋体" w:hAnsi="宋体" w:cs="宋体"/>
                <w:color w:val="000000"/>
                <w:kern w:val="2"/>
              </w:rPr>
            </w:pPr>
            <w:r>
              <w:rPr>
                <w:rFonts w:hint="eastAsia" w:ascii="宋体" w:hAnsi="宋体" w:cs="宋体"/>
                <w:color w:val="000000"/>
                <w:kern w:val="2"/>
              </w:rPr>
              <w:t>产品成立/起始日</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3ACCDC68">
            <w:pPr>
              <w:pStyle w:val="51"/>
              <w:rPr>
                <w:rFonts w:ascii="宋体" w:hAnsi="宋体" w:cs="宋体"/>
                <w:color w:val="000000"/>
                <w:kern w:val="2"/>
              </w:rPr>
            </w:pPr>
            <w:r>
              <w:rPr>
                <w:rFonts w:hint="eastAsia" w:ascii="宋体" w:hAnsi="宋体" w:cs="宋体"/>
                <w:color w:val="000000"/>
                <w:kern w:val="2"/>
              </w:rPr>
              <w:t xml:space="preserve">2021-11-12 </w:t>
            </w:r>
          </w:p>
        </w:tc>
      </w:tr>
      <w:tr w14:paraId="553F6C72">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719E9ADD">
            <w:pPr>
              <w:pStyle w:val="51"/>
              <w:spacing w:line="320" w:lineRule="atLeast"/>
              <w:rPr>
                <w:rFonts w:ascii="宋体" w:hAnsi="宋体" w:cs="宋体"/>
                <w:color w:val="000000"/>
                <w:kern w:val="2"/>
              </w:rPr>
            </w:pPr>
            <w:r>
              <w:rPr>
                <w:rFonts w:hint="eastAsia" w:ascii="宋体" w:hAnsi="宋体" w:cs="宋体"/>
                <w:color w:val="000000"/>
                <w:kern w:val="2"/>
              </w:rPr>
              <w:t>报告期末产品份额总额（份）</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50245719">
            <w:pPr>
              <w:pStyle w:val="51"/>
              <w:rPr>
                <w:rFonts w:ascii="宋体" w:hAnsi="宋体" w:cs="宋体"/>
                <w:color w:val="000000"/>
                <w:kern w:val="2"/>
              </w:rPr>
            </w:pPr>
            <w:r>
              <w:rPr>
                <w:rFonts w:hint="eastAsia" w:ascii="宋体" w:hAnsi="宋体" w:cs="宋体"/>
                <w:color w:val="000000"/>
                <w:kern w:val="2"/>
              </w:rPr>
              <w:t xml:space="preserve">3,964,200,046.79 </w:t>
            </w:r>
          </w:p>
        </w:tc>
      </w:tr>
      <w:tr w14:paraId="43E069C2">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7318F9AF">
            <w:pPr>
              <w:pStyle w:val="51"/>
              <w:spacing w:line="320" w:lineRule="atLeast"/>
              <w:rPr>
                <w:rFonts w:ascii="宋体" w:hAnsi="宋体" w:cs="宋体"/>
                <w:color w:val="000000"/>
                <w:kern w:val="2"/>
              </w:rPr>
            </w:pPr>
            <w:r>
              <w:rPr>
                <w:rFonts w:hint="eastAsia" w:ascii="宋体" w:hAnsi="宋体" w:cs="宋体"/>
                <w:color w:val="000000"/>
                <w:kern w:val="2"/>
              </w:rPr>
              <w:t>业绩比较基准（%）</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1235D9FC">
            <w:pPr>
              <w:pStyle w:val="51"/>
              <w:rPr>
                <w:rFonts w:ascii="宋体" w:hAnsi="宋体" w:cs="宋体"/>
                <w:color w:val="000000"/>
                <w:kern w:val="2"/>
              </w:rPr>
            </w:pPr>
          </w:p>
        </w:tc>
      </w:tr>
      <w:tr w14:paraId="468127AE">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3D6B3FDA">
            <w:pPr>
              <w:pStyle w:val="51"/>
              <w:spacing w:line="320" w:lineRule="atLeast"/>
              <w:rPr>
                <w:rFonts w:ascii="宋体" w:hAnsi="宋体" w:cs="宋体"/>
                <w:color w:val="000000"/>
                <w:kern w:val="2"/>
              </w:rPr>
            </w:pPr>
            <w:r>
              <w:rPr>
                <w:rFonts w:hint="eastAsia" w:ascii="宋体" w:hAnsi="宋体" w:cs="宋体"/>
                <w:color w:val="000000"/>
                <w:kern w:val="2"/>
              </w:rPr>
              <w:t>杠杆水平（%）</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14377445">
            <w:pPr>
              <w:pStyle w:val="51"/>
              <w:rPr>
                <w:rFonts w:ascii="宋体" w:hAnsi="宋体" w:cs="宋体"/>
                <w:color w:val="000000"/>
                <w:kern w:val="2"/>
              </w:rPr>
            </w:pPr>
            <w:r>
              <w:rPr>
                <w:rFonts w:ascii="宋体" w:hAnsi="宋体" w:cs="宋体"/>
                <w:color w:val="000000"/>
                <w:kern w:val="2"/>
              </w:rPr>
              <w:t>100.78</w:t>
            </w:r>
          </w:p>
        </w:tc>
      </w:tr>
      <w:tr w14:paraId="5EE35E7B">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317EAA62">
            <w:pPr>
              <w:pStyle w:val="51"/>
              <w:spacing w:line="320" w:lineRule="atLeast"/>
              <w:rPr>
                <w:rFonts w:ascii="宋体" w:hAnsi="宋体" w:cs="宋体"/>
                <w:color w:val="000000"/>
                <w:kern w:val="2"/>
              </w:rPr>
            </w:pPr>
            <w:r>
              <w:rPr>
                <w:rFonts w:hint="eastAsia" w:ascii="宋体" w:hAnsi="宋体" w:cs="宋体"/>
                <w:color w:val="000000"/>
                <w:kern w:val="2"/>
              </w:rPr>
              <w:t>销售手续费率（%）</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650EEB26">
            <w:pPr>
              <w:pStyle w:val="51"/>
              <w:rPr>
                <w:rFonts w:ascii="宋体" w:hAnsi="宋体" w:cs="宋体"/>
                <w:color w:val="000000"/>
                <w:kern w:val="2"/>
              </w:rPr>
            </w:pPr>
          </w:p>
        </w:tc>
      </w:tr>
      <w:tr w14:paraId="3FF971EA">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shd w:val="clear" w:color="auto" w:fill="auto"/>
          </w:tcPr>
          <w:p w14:paraId="569A1C7D">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T2109B</w:t>
            </w:r>
          </w:p>
        </w:tc>
        <w:tc>
          <w:tcPr>
            <w:tcW w:w="4483" w:type="dxa"/>
            <w:tcBorders>
              <w:top w:val="nil"/>
              <w:left w:val="nil"/>
              <w:bottom w:val="single" w:color="000000" w:sz="8" w:space="0"/>
              <w:right w:val="single" w:color="000000" w:sz="8" w:space="0"/>
            </w:tcBorders>
            <w:shd w:val="clear" w:color="auto" w:fill="auto"/>
          </w:tcPr>
          <w:p w14:paraId="1AF50330">
            <w:pPr>
              <w:pStyle w:val="51"/>
              <w:ind w:hanging="1"/>
              <w:jc w:val="left"/>
              <w:rPr>
                <w:rFonts w:ascii="宋体" w:hAnsi="宋体" w:cs="宋体"/>
                <w:color w:val="000000"/>
                <w:kern w:val="2"/>
              </w:rPr>
            </w:pPr>
          </w:p>
        </w:tc>
      </w:tr>
      <w:tr w14:paraId="7C777D6A">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shd w:val="clear" w:color="auto" w:fill="auto"/>
          </w:tcPr>
          <w:p w14:paraId="6DC93CA8">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T2109A</w:t>
            </w:r>
          </w:p>
        </w:tc>
        <w:tc>
          <w:tcPr>
            <w:tcW w:w="4483" w:type="dxa"/>
            <w:tcBorders>
              <w:top w:val="nil"/>
              <w:left w:val="nil"/>
              <w:bottom w:val="single" w:color="000000" w:sz="8" w:space="0"/>
              <w:right w:val="single" w:color="000000" w:sz="8" w:space="0"/>
            </w:tcBorders>
            <w:shd w:val="clear" w:color="auto" w:fill="auto"/>
          </w:tcPr>
          <w:p w14:paraId="1034BCF7">
            <w:pPr>
              <w:pStyle w:val="51"/>
              <w:ind w:hanging="1"/>
              <w:jc w:val="left"/>
              <w:rPr>
                <w:rFonts w:ascii="宋体" w:hAnsi="宋体" w:cs="宋体"/>
                <w:color w:val="000000"/>
                <w:kern w:val="2"/>
              </w:rPr>
            </w:pPr>
            <w:r>
              <w:rPr>
                <w:rFonts w:hint="eastAsia" w:ascii="宋体" w:hAnsi="宋体" w:cs="宋体"/>
                <w:b w:val="0"/>
                <w:i w:val="0"/>
                <w:strike w:val="0"/>
                <w:color w:val="000000"/>
                <w:u w:val="none"/>
              </w:rPr>
              <w:t>0.2</w:t>
            </w:r>
          </w:p>
        </w:tc>
      </w:tr>
      <w:tr w14:paraId="324A6767">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shd w:val="clear" w:color="auto" w:fill="auto"/>
          </w:tcPr>
          <w:p w14:paraId="35070103">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T2109C</w:t>
            </w:r>
          </w:p>
        </w:tc>
        <w:tc>
          <w:tcPr>
            <w:tcW w:w="4483" w:type="dxa"/>
            <w:tcBorders>
              <w:top w:val="nil"/>
              <w:left w:val="nil"/>
              <w:bottom w:val="single" w:color="000000" w:sz="8" w:space="0"/>
              <w:right w:val="single" w:color="000000" w:sz="8" w:space="0"/>
            </w:tcBorders>
            <w:shd w:val="clear" w:color="auto" w:fill="auto"/>
          </w:tcPr>
          <w:p w14:paraId="747C884C">
            <w:pPr>
              <w:pStyle w:val="51"/>
              <w:ind w:hanging="1"/>
              <w:jc w:val="left"/>
              <w:rPr>
                <w:rFonts w:ascii="宋体" w:hAnsi="宋体" w:cs="宋体"/>
                <w:color w:val="000000"/>
                <w:kern w:val="2"/>
              </w:rPr>
            </w:pPr>
            <w:r>
              <w:rPr>
                <w:rFonts w:hint="eastAsia" w:ascii="宋体" w:hAnsi="宋体" w:cs="宋体"/>
                <w:b w:val="0"/>
                <w:i w:val="0"/>
                <w:strike w:val="0"/>
                <w:color w:val="000000"/>
                <w:u w:val="none"/>
              </w:rPr>
              <w:t>0.2</w:t>
            </w:r>
          </w:p>
        </w:tc>
      </w:tr>
      <w:tr w14:paraId="06D1E1CD">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1D22014F">
            <w:pPr>
              <w:pStyle w:val="51"/>
              <w:spacing w:line="320" w:lineRule="atLeast"/>
              <w:rPr>
                <w:rFonts w:ascii="宋体" w:hAnsi="宋体" w:cs="宋体"/>
                <w:color w:val="000000"/>
                <w:kern w:val="2"/>
              </w:rPr>
            </w:pPr>
            <w:r>
              <w:rPr>
                <w:rFonts w:hint="eastAsia" w:ascii="宋体" w:hAnsi="宋体" w:cs="宋体"/>
                <w:color w:val="000000"/>
                <w:kern w:val="2"/>
              </w:rPr>
              <w:t>托管费率（%）</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4411ED5B">
            <w:pPr>
              <w:pStyle w:val="51"/>
              <w:rPr>
                <w:rFonts w:ascii="宋体" w:hAnsi="宋体" w:cs="宋体"/>
                <w:color w:val="000000"/>
                <w:kern w:val="2"/>
              </w:rPr>
            </w:pPr>
            <w:r>
              <w:rPr>
                <w:rFonts w:hint="eastAsia" w:ascii="宋体" w:hAnsi="宋体" w:cs="宋体"/>
                <w:color w:val="000000"/>
                <w:kern w:val="2"/>
              </w:rPr>
              <w:t>0.005</w:t>
            </w:r>
          </w:p>
        </w:tc>
      </w:tr>
      <w:tr w14:paraId="61B5A50F">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30C12BAC">
            <w:pPr>
              <w:pStyle w:val="51"/>
              <w:spacing w:line="320" w:lineRule="atLeast"/>
              <w:rPr>
                <w:rFonts w:ascii="宋体" w:hAnsi="宋体" w:cs="宋体"/>
                <w:color w:val="000000"/>
                <w:kern w:val="2"/>
              </w:rPr>
            </w:pPr>
            <w:r>
              <w:rPr>
                <w:rFonts w:hint="eastAsia" w:ascii="宋体" w:hAnsi="宋体" w:cs="宋体"/>
                <w:color w:val="000000"/>
                <w:kern w:val="2"/>
              </w:rPr>
              <w:t>固定管理费率（%）</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3D118474">
            <w:pPr>
              <w:pStyle w:val="51"/>
              <w:rPr>
                <w:rFonts w:ascii="宋体" w:hAnsi="宋体" w:cs="宋体"/>
                <w:color w:val="000000"/>
                <w:kern w:val="2"/>
              </w:rPr>
            </w:pPr>
            <w:r>
              <w:rPr>
                <w:rFonts w:hint="eastAsia" w:ascii="宋体" w:hAnsi="宋体" w:cs="宋体"/>
                <w:color w:val="000000"/>
                <w:kern w:val="2"/>
              </w:rPr>
              <w:t>0.2</w:t>
            </w:r>
          </w:p>
        </w:tc>
      </w:tr>
      <w:tr w14:paraId="4AAD1FAA">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228D7463">
            <w:pPr>
              <w:pStyle w:val="51"/>
              <w:spacing w:line="320" w:lineRule="atLeast"/>
              <w:rPr>
                <w:rFonts w:ascii="宋体" w:hAnsi="宋体" w:cs="宋体"/>
                <w:color w:val="000000"/>
                <w:kern w:val="2"/>
              </w:rPr>
            </w:pPr>
            <w:r>
              <w:rPr>
                <w:rFonts w:hint="eastAsia" w:ascii="宋体" w:hAnsi="宋体" w:cs="宋体"/>
                <w:color w:val="000000"/>
                <w:kern w:val="2"/>
              </w:rPr>
              <w:t>其他费率（%）</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65D9FCF0">
            <w:pPr>
              <w:pStyle w:val="51"/>
              <w:rPr>
                <w:rFonts w:ascii="宋体" w:hAnsi="宋体" w:cs="宋体"/>
                <w:color w:val="000000"/>
                <w:kern w:val="2"/>
              </w:rPr>
            </w:pPr>
          </w:p>
        </w:tc>
      </w:tr>
      <w:tr w14:paraId="247DABFB">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48C14C95">
            <w:pPr>
              <w:pStyle w:val="51"/>
              <w:spacing w:line="320" w:lineRule="atLeast"/>
              <w:rPr>
                <w:rFonts w:ascii="宋体" w:hAnsi="宋体" w:cs="宋体"/>
                <w:color w:val="000000"/>
                <w:kern w:val="2"/>
              </w:rPr>
            </w:pPr>
            <w:r>
              <w:rPr>
                <w:rFonts w:hint="eastAsia" w:ascii="宋体" w:hAnsi="宋体" w:cs="宋体"/>
                <w:color w:val="000000"/>
                <w:kern w:val="2"/>
              </w:rPr>
              <w:t>业绩报酬（元）</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1081B427">
            <w:pPr>
              <w:pStyle w:val="51"/>
              <w:rPr>
                <w:rFonts w:ascii="宋体" w:hAnsi="宋体" w:cs="宋体"/>
                <w:color w:val="000000"/>
                <w:kern w:val="2"/>
              </w:rPr>
            </w:pPr>
            <w:r>
              <w:rPr>
                <w:rFonts w:hint="eastAsia" w:ascii="宋体" w:hAnsi="宋体" w:cs="宋体"/>
                <w:color w:val="000000"/>
                <w:kern w:val="2"/>
              </w:rPr>
              <w:t>0.00</w:t>
            </w:r>
          </w:p>
        </w:tc>
      </w:tr>
    </w:tbl>
    <w:p w14:paraId="6CC3625C">
      <w:pPr>
        <w:ind w:firstLine="400"/>
        <w:jc w:val="center"/>
        <w:rPr>
          <w:rFonts w:eastAsia="Times New Roman"/>
        </w:rPr>
      </w:pPr>
      <w:r>
        <w:rPr>
          <w:rFonts w:eastAsia="Times New Roman"/>
        </w:rPr>
        <w:t> </w:t>
      </w:r>
    </w:p>
    <w:p w14:paraId="0107C1C5">
      <w:pPr>
        <w:jc w:val="center"/>
        <w:rPr>
          <w:rFonts w:ascii="宋体" w:hAnsi="宋体"/>
          <w:bCs/>
          <w:sz w:val="33"/>
          <w:szCs w:val="33"/>
        </w:rPr>
      </w:pPr>
      <w:r>
        <w:rPr>
          <w:rFonts w:hint="eastAsia" w:ascii="宋体" w:hAnsi="宋体"/>
          <w:bCs/>
          <w:sz w:val="33"/>
          <w:szCs w:val="33"/>
        </w:rPr>
        <w:t>3</w:t>
      </w:r>
      <w:r>
        <w:rPr>
          <w:rFonts w:ascii="宋体" w:hAnsi="宋体"/>
          <w:bCs/>
          <w:sz w:val="33"/>
          <w:szCs w:val="33"/>
        </w:rPr>
        <w:t xml:space="preserve"> </w:t>
      </w:r>
      <w:r>
        <w:rPr>
          <w:rFonts w:hint="eastAsia" w:ascii="宋体" w:hAnsi="宋体"/>
          <w:bCs/>
          <w:sz w:val="33"/>
          <w:szCs w:val="33"/>
        </w:rPr>
        <w:t>主要财务指标和产品净值表现</w:t>
      </w:r>
    </w:p>
    <w:tbl>
      <w:tblPr>
        <w:tblStyle w:val="17"/>
        <w:tblW w:w="9000" w:type="dxa"/>
        <w:jc w:val="center"/>
        <w:tblCellSpacing w:w="8" w:type="dxa"/>
        <w:tblLayout w:type="fixed"/>
        <w:tblCellMar>
          <w:top w:w="0" w:type="dxa"/>
          <w:left w:w="108" w:type="dxa"/>
          <w:bottom w:w="0" w:type="dxa"/>
          <w:right w:w="108" w:type="dxa"/>
        </w:tblCellMar>
      </w:tblPr>
      <w:tblGrid>
        <w:gridCol w:w="9000"/>
      </w:tblGrid>
      <w:tr w14:paraId="772CE843">
        <w:tblPrEx>
          <w:tblCellMar>
            <w:top w:w="0" w:type="dxa"/>
            <w:left w:w="108" w:type="dxa"/>
            <w:bottom w:w="0" w:type="dxa"/>
            <w:right w:w="108" w:type="dxa"/>
          </w:tblCellMar>
        </w:tblPrEx>
        <w:trPr>
          <w:tblCellSpacing w:w="8" w:type="dxa"/>
          <w:jc w:val="center"/>
        </w:trPr>
        <w:tc>
          <w:tcPr>
            <w:tcW w:w="8968" w:type="dxa"/>
            <w:tcMar>
              <w:top w:w="15" w:type="dxa"/>
              <w:left w:w="15" w:type="dxa"/>
              <w:bottom w:w="15" w:type="dxa"/>
              <w:right w:w="15" w:type="dxa"/>
            </w:tcMar>
            <w:vAlign w:val="center"/>
          </w:tcPr>
          <w:p w14:paraId="75C71038">
            <w:pPr>
              <w:rPr>
                <w:rFonts w:ascii="宋体" w:hAnsi="宋体"/>
                <w:color w:val="000000"/>
                <w:sz w:val="24"/>
                <w:szCs w:val="24"/>
              </w:rPr>
            </w:pPr>
            <w:r>
              <w:rPr>
                <w:rFonts w:hint="eastAsia" w:ascii="宋体" w:hAnsi="宋体" w:cs="宋体"/>
                <w:color w:val="000000"/>
                <w:sz w:val="24"/>
                <w:szCs w:val="24"/>
              </w:rPr>
              <w:t>3.1 主要财务指标</w:t>
            </w:r>
          </w:p>
        </w:tc>
      </w:tr>
    </w:tbl>
    <w:p w14:paraId="4B02DCBD">
      <w:pPr>
        <w:rPr>
          <w:rFonts w:ascii="宋体" w:hAnsi="宋体"/>
          <w:vanish/>
          <w:sz w:val="24"/>
          <w:szCs w:val="24"/>
        </w:rPr>
      </w:pPr>
    </w:p>
    <w:tbl>
      <w:tblPr>
        <w:tblStyle w:val="17"/>
        <w:tblW w:w="9000" w:type="dxa"/>
        <w:jc w:val="center"/>
        <w:tblCellSpacing w:w="8" w:type="dxa"/>
        <w:tblLayout w:type="fixed"/>
        <w:tblCellMar>
          <w:top w:w="0" w:type="dxa"/>
          <w:left w:w="108" w:type="dxa"/>
          <w:bottom w:w="0" w:type="dxa"/>
          <w:right w:w="108" w:type="dxa"/>
        </w:tblCellMar>
      </w:tblPr>
      <w:tblGrid>
        <w:gridCol w:w="9000"/>
      </w:tblGrid>
      <w:tr w14:paraId="198BAF1B">
        <w:tblPrEx>
          <w:tblCellMar>
            <w:top w:w="0" w:type="dxa"/>
            <w:left w:w="108" w:type="dxa"/>
            <w:bottom w:w="0" w:type="dxa"/>
            <w:right w:w="108" w:type="dxa"/>
          </w:tblCellMar>
        </w:tblPrEx>
        <w:trPr>
          <w:trHeight w:val="150" w:hRule="atLeast"/>
          <w:tblCellSpacing w:w="8" w:type="dxa"/>
          <w:jc w:val="center"/>
        </w:trPr>
        <w:tc>
          <w:tcPr>
            <w:tcW w:w="8968" w:type="dxa"/>
            <w:tcMar>
              <w:top w:w="15" w:type="dxa"/>
              <w:left w:w="15" w:type="dxa"/>
              <w:bottom w:w="15" w:type="dxa"/>
              <w:right w:w="15" w:type="dxa"/>
            </w:tcMar>
            <w:vAlign w:val="center"/>
          </w:tcPr>
          <w:p w14:paraId="4C4CEBA6">
            <w:pPr>
              <w:pStyle w:val="51"/>
              <w:jc w:val="right"/>
              <w:rPr>
                <w:rFonts w:ascii="宋体" w:hAnsi="宋体"/>
                <w:color w:val="000000"/>
              </w:rPr>
            </w:pPr>
            <w:r>
              <w:rPr>
                <w:rFonts w:hint="eastAsia" w:ascii="宋体" w:hAnsi="宋体" w:cs="宋体"/>
                <w:color w:val="000000"/>
                <w:kern w:val="2"/>
              </w:rPr>
              <w:t>单位：元、元/份</w:t>
            </w:r>
          </w:p>
        </w:tc>
      </w:tr>
    </w:tbl>
    <w:p w14:paraId="0941CD02">
      <w:pPr>
        <w:rPr>
          <w:rFonts w:ascii="宋体" w:hAnsi="宋体"/>
          <w:vanish/>
          <w:sz w:val="24"/>
          <w:szCs w:val="24"/>
        </w:rPr>
      </w:pPr>
    </w:p>
    <w:tbl>
      <w:tblPr>
        <w:tblStyle w:val="17"/>
        <w:tblW w:w="9152" w:type="dxa"/>
        <w:jc w:val="center"/>
        <w:tblLayout w:type="fixed"/>
        <w:tblCellMar>
          <w:top w:w="0" w:type="dxa"/>
          <w:left w:w="108" w:type="dxa"/>
          <w:bottom w:w="0" w:type="dxa"/>
          <w:right w:w="108" w:type="dxa"/>
        </w:tblCellMar>
      </w:tblPr>
      <w:tblGrid>
        <w:gridCol w:w="4581"/>
        <w:gridCol w:w="4571"/>
      </w:tblGrid>
      <w:tr w14:paraId="65A968AF">
        <w:tblPrEx>
          <w:tblCellMar>
            <w:top w:w="0" w:type="dxa"/>
            <w:left w:w="108" w:type="dxa"/>
            <w:bottom w:w="0" w:type="dxa"/>
            <w:right w:w="108" w:type="dxa"/>
          </w:tblCellMar>
        </w:tblPrEx>
        <w:trPr>
          <w:trHeight w:val="850" w:hRule="atLeast"/>
          <w:jc w:val="center"/>
        </w:trPr>
        <w:tc>
          <w:tcPr>
            <w:tcW w:w="4581" w:type="dxa"/>
            <w:tcBorders>
              <w:top w:val="single" w:color="000000" w:sz="8" w:space="0"/>
              <w:left w:val="single" w:color="000000" w:sz="8" w:space="0"/>
              <w:bottom w:val="single" w:color="000000" w:sz="8" w:space="0"/>
              <w:right w:val="single" w:color="000000" w:sz="8" w:space="0"/>
            </w:tcBorders>
            <w:tcMar>
              <w:top w:w="10" w:type="dxa"/>
              <w:left w:w="118" w:type="dxa"/>
              <w:bottom w:w="10" w:type="dxa"/>
              <w:right w:w="118" w:type="dxa"/>
            </w:tcMar>
            <w:vAlign w:val="center"/>
          </w:tcPr>
          <w:p w14:paraId="0ABF81F4">
            <w:pPr>
              <w:pStyle w:val="52"/>
              <w:spacing w:line="400" w:lineRule="atLeast"/>
              <w:rPr>
                <w:rFonts w:ascii="宋体" w:hAnsi="宋体" w:cs="宋体"/>
                <w:color w:val="000000"/>
                <w:kern w:val="2"/>
              </w:rPr>
            </w:pPr>
            <w:r>
              <w:rPr>
                <w:rFonts w:hint="eastAsia" w:ascii="宋体" w:hAnsi="宋体" w:cs="宋体"/>
                <w:color w:val="000000"/>
                <w:kern w:val="2"/>
              </w:rPr>
              <w:t>主要财务指标</w:t>
            </w:r>
          </w:p>
        </w:tc>
        <w:tc>
          <w:tcPr>
            <w:tcW w:w="4571" w:type="dxa"/>
            <w:tcBorders>
              <w:top w:val="single" w:color="000000" w:sz="8" w:space="0"/>
              <w:left w:val="nil"/>
              <w:bottom w:val="single" w:color="000000" w:sz="8" w:space="0"/>
              <w:right w:val="single" w:color="000000" w:sz="8" w:space="0"/>
            </w:tcBorders>
            <w:tcMar>
              <w:top w:w="10" w:type="dxa"/>
              <w:left w:w="108" w:type="dxa"/>
              <w:bottom w:w="10" w:type="dxa"/>
              <w:right w:w="118" w:type="dxa"/>
            </w:tcMar>
            <w:vAlign w:val="center"/>
          </w:tcPr>
          <w:p w14:paraId="5A82FF97">
            <w:pPr>
              <w:pStyle w:val="51"/>
              <w:spacing w:line="400" w:lineRule="atLeast"/>
              <w:rPr>
                <w:rFonts w:ascii="宋体" w:hAnsi="宋体" w:cs="宋体"/>
                <w:color w:val="000000"/>
                <w:kern w:val="2"/>
              </w:rPr>
            </w:pPr>
            <w:r>
              <w:rPr>
                <w:rFonts w:hint="eastAsia" w:ascii="宋体" w:hAnsi="宋体" w:cs="宋体"/>
                <w:color w:val="000000"/>
                <w:kern w:val="2"/>
              </w:rPr>
              <w:t>2026-01-01</w:t>
            </w:r>
            <w:r>
              <w:rPr>
                <w:rFonts w:ascii="宋体" w:hAnsi="宋体" w:cs="宋体"/>
                <w:color w:val="000000"/>
                <w:kern w:val="2"/>
              </w:rPr>
              <w:t xml:space="preserve">  </w:t>
            </w:r>
            <w:r>
              <w:rPr>
                <w:rFonts w:hint="eastAsia" w:ascii="宋体" w:hAnsi="宋体" w:cs="宋体"/>
                <w:color w:val="000000"/>
                <w:kern w:val="2"/>
              </w:rPr>
              <w:t>至</w:t>
            </w:r>
            <w:r>
              <w:rPr>
                <w:rFonts w:ascii="宋体" w:hAnsi="宋体" w:cs="宋体"/>
                <w:color w:val="000000"/>
                <w:kern w:val="2"/>
              </w:rPr>
              <w:t xml:space="preserve"> </w:t>
            </w:r>
            <w:r>
              <w:rPr>
                <w:rFonts w:hint="eastAsia" w:ascii="宋体" w:hAnsi="宋体" w:cs="宋体"/>
                <w:color w:val="000000"/>
                <w:kern w:val="2"/>
              </w:rPr>
              <w:t xml:space="preserve"> 2026-06-30</w:t>
            </w:r>
          </w:p>
        </w:tc>
      </w:tr>
      <w:tr w14:paraId="73C41E1A">
        <w:tblPrEx>
          <w:tblCellMar>
            <w:top w:w="0" w:type="dxa"/>
            <w:left w:w="108" w:type="dxa"/>
            <w:bottom w:w="0" w:type="dxa"/>
            <w:right w:w="108" w:type="dxa"/>
          </w:tblCellMar>
        </w:tblPrEx>
        <w:trPr>
          <w:trHeight w:val="385" w:hRule="atLeast"/>
          <w:jc w:val="center"/>
        </w:trPr>
        <w:tc>
          <w:tcPr>
            <w:tcW w:w="4581" w:type="dxa"/>
            <w:tcBorders>
              <w:top w:val="nil"/>
              <w:left w:val="single" w:color="000000" w:sz="8" w:space="0"/>
              <w:bottom w:val="single" w:color="auto" w:sz="4" w:space="0"/>
              <w:right w:val="single" w:color="000000" w:sz="8" w:space="0"/>
            </w:tcBorders>
            <w:tcMar>
              <w:top w:w="0" w:type="dxa"/>
              <w:left w:w="118" w:type="dxa"/>
              <w:bottom w:w="10" w:type="dxa"/>
              <w:right w:w="118" w:type="dxa"/>
            </w:tcMar>
          </w:tcPr>
          <w:p w14:paraId="33045D0E">
            <w:pPr>
              <w:pStyle w:val="51"/>
              <w:spacing w:line="320" w:lineRule="atLeast"/>
              <w:rPr>
                <w:rFonts w:ascii="宋体" w:hAnsi="宋体" w:cs="宋体"/>
                <w:color w:val="000000"/>
                <w:kern w:val="2"/>
              </w:rPr>
            </w:pPr>
            <w:r>
              <w:rPr>
                <w:rFonts w:hint="eastAsia" w:ascii="宋体" w:hAnsi="宋体" w:cs="宋体"/>
                <w:color w:val="000000"/>
                <w:kern w:val="2"/>
              </w:rPr>
              <w:t>1.期末产品资产净值</w:t>
            </w:r>
          </w:p>
        </w:tc>
        <w:tc>
          <w:tcPr>
            <w:tcW w:w="4571" w:type="dxa"/>
            <w:tcBorders>
              <w:top w:val="nil"/>
              <w:left w:val="nil"/>
              <w:bottom w:val="single" w:color="auto" w:sz="4" w:space="0"/>
              <w:right w:val="single" w:color="000000" w:sz="8" w:space="0"/>
            </w:tcBorders>
            <w:tcMar>
              <w:top w:w="0" w:type="dxa"/>
              <w:left w:w="108" w:type="dxa"/>
              <w:bottom w:w="10" w:type="dxa"/>
              <w:right w:w="118" w:type="dxa"/>
            </w:tcMar>
            <w:vAlign w:val="center"/>
          </w:tcPr>
          <w:p w14:paraId="37CF166C">
            <w:pPr>
              <w:jc w:val="right"/>
              <w:rPr>
                <w:rFonts w:ascii="宋体" w:hAnsi="宋体" w:cs="宋体"/>
                <w:color w:val="000000"/>
                <w:sz w:val="24"/>
                <w:szCs w:val="24"/>
              </w:rPr>
            </w:pPr>
            <w:r>
              <w:rPr>
                <w:rFonts w:hint="eastAsia" w:ascii="宋体" w:hAnsi="宋体" w:cs="宋体"/>
                <w:color w:val="000000"/>
                <w:sz w:val="24"/>
                <w:szCs w:val="24"/>
              </w:rPr>
              <w:t>3,964,200,046.79</w:t>
            </w:r>
          </w:p>
        </w:tc>
      </w:tr>
      <w:tr w14:paraId="3EE05E2B">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tcMar>
              <w:top w:w="0" w:type="dxa"/>
              <w:left w:w="118" w:type="dxa"/>
              <w:bottom w:w="10" w:type="dxa"/>
              <w:right w:w="118" w:type="dxa"/>
            </w:tcMar>
          </w:tcPr>
          <w:p w14:paraId="08065500">
            <w:pPr>
              <w:pStyle w:val="51"/>
              <w:spacing w:line="320" w:lineRule="atLeast"/>
              <w:rPr>
                <w:rFonts w:ascii="宋体" w:hAnsi="宋体" w:cs="宋体"/>
                <w:color w:val="000000"/>
                <w:kern w:val="2"/>
              </w:rPr>
            </w:pPr>
            <w:r>
              <w:rPr>
                <w:rFonts w:hint="eastAsia" w:ascii="宋体" w:hAnsi="宋体" w:cs="宋体"/>
                <w:color w:val="000000"/>
                <w:kern w:val="2"/>
              </w:rPr>
              <w:t>2.期末产品份额净值</w:t>
            </w:r>
          </w:p>
        </w:tc>
        <w:tc>
          <w:tcPr>
            <w:tcW w:w="4571" w:type="dxa"/>
            <w:tcBorders>
              <w:top w:val="single" w:color="auto" w:sz="4" w:space="0"/>
              <w:left w:val="single" w:color="auto" w:sz="4" w:space="0"/>
              <w:bottom w:val="single" w:color="auto" w:sz="4" w:space="0"/>
              <w:right w:val="single" w:color="auto" w:sz="4" w:space="0"/>
            </w:tcBorders>
            <w:tcMar>
              <w:top w:w="0" w:type="dxa"/>
              <w:left w:w="108" w:type="dxa"/>
              <w:bottom w:w="10" w:type="dxa"/>
              <w:right w:w="118" w:type="dxa"/>
            </w:tcMar>
            <w:vAlign w:val="center"/>
          </w:tcPr>
          <w:p w14:paraId="17FA191B">
            <w:pPr>
              <w:jc w:val="right"/>
              <w:rPr>
                <w:rFonts w:ascii="宋体" w:hAnsi="宋体" w:cs="宋体"/>
                <w:color w:val="000000"/>
                <w:sz w:val="24"/>
                <w:szCs w:val="24"/>
              </w:rPr>
            </w:pPr>
            <w:r>
              <w:rPr>
                <w:rFonts w:hint="eastAsia" w:ascii="宋体" w:hAnsi="宋体" w:cs="宋体"/>
                <w:color w:val="000000"/>
                <w:sz w:val="24"/>
                <w:szCs w:val="24"/>
              </w:rPr>
              <w:t>1.00</w:t>
            </w:r>
          </w:p>
        </w:tc>
      </w:tr>
      <w:tr w14:paraId="39E753CA">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tcMar>
              <w:top w:w="0" w:type="dxa"/>
              <w:left w:w="118" w:type="dxa"/>
              <w:bottom w:w="10" w:type="dxa"/>
              <w:right w:w="118" w:type="dxa"/>
            </w:tcMar>
          </w:tcPr>
          <w:p w14:paraId="66D899E5">
            <w:pPr>
              <w:pStyle w:val="51"/>
              <w:spacing w:line="320" w:lineRule="atLeast"/>
              <w:rPr>
                <w:rFonts w:ascii="宋体" w:hAnsi="宋体" w:cs="宋体"/>
                <w:color w:val="000000"/>
                <w:kern w:val="2"/>
              </w:rPr>
            </w:pPr>
            <w:r>
              <w:rPr>
                <w:rFonts w:hint="eastAsia" w:ascii="宋体" w:hAnsi="宋体" w:cs="宋体"/>
                <w:color w:val="000000"/>
                <w:kern w:val="2"/>
              </w:rPr>
              <w:t>3.期末产品份额累计净值</w:t>
            </w:r>
          </w:p>
        </w:tc>
        <w:tc>
          <w:tcPr>
            <w:tcW w:w="4571" w:type="dxa"/>
            <w:tcBorders>
              <w:top w:val="single" w:color="auto" w:sz="4" w:space="0"/>
              <w:left w:val="single" w:color="auto" w:sz="4" w:space="0"/>
              <w:bottom w:val="single" w:color="auto" w:sz="4" w:space="0"/>
              <w:right w:val="single" w:color="auto" w:sz="4" w:space="0"/>
            </w:tcBorders>
            <w:tcMar>
              <w:top w:w="0" w:type="dxa"/>
              <w:left w:w="108" w:type="dxa"/>
              <w:bottom w:w="10" w:type="dxa"/>
              <w:right w:w="118" w:type="dxa"/>
            </w:tcMar>
            <w:vAlign w:val="center"/>
          </w:tcPr>
          <w:p w14:paraId="5A8257E5">
            <w:pPr>
              <w:jc w:val="right"/>
              <w:rPr>
                <w:rFonts w:ascii="宋体" w:hAnsi="宋体" w:cs="宋体"/>
                <w:color w:val="000000"/>
                <w:sz w:val="24"/>
                <w:szCs w:val="24"/>
              </w:rPr>
            </w:pPr>
            <w:r>
              <w:rPr>
                <w:rFonts w:hint="eastAsia" w:ascii="宋体" w:hAnsi="宋体" w:cs="宋体"/>
                <w:color w:val="000000"/>
                <w:sz w:val="24"/>
                <w:szCs w:val="24"/>
              </w:rPr>
              <w:t>1.09826655</w:t>
            </w:r>
          </w:p>
        </w:tc>
      </w:tr>
      <w:tr w14:paraId="6B10F613">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tcMar>
              <w:top w:w="0" w:type="dxa"/>
              <w:left w:w="118" w:type="dxa"/>
              <w:bottom w:w="10" w:type="dxa"/>
              <w:right w:w="118" w:type="dxa"/>
            </w:tcMar>
          </w:tcPr>
          <w:p w14:paraId="66372777">
            <w:pPr>
              <w:pStyle w:val="51"/>
              <w:spacing w:line="320" w:lineRule="atLeast"/>
              <w:rPr>
                <w:rFonts w:hint="default" w:ascii="宋体" w:hAnsi="宋体" w:eastAsia="宋体" w:cs="宋体"/>
                <w:color w:val="000000"/>
                <w:kern w:val="2"/>
                <w:lang w:val="en-US" w:eastAsia="zh-CN"/>
              </w:rPr>
            </w:pPr>
            <w:r>
              <w:rPr>
                <w:rFonts w:hint="eastAsia" w:ascii="宋体" w:hAnsi="宋体" w:cs="宋体"/>
                <w:color w:val="000000"/>
                <w:kern w:val="2"/>
              </w:rPr>
              <w:t>4.本报告期累计净值增长率</w:t>
            </w:r>
            <w:r>
              <w:rPr>
                <w:rFonts w:hint="eastAsia" w:ascii="宋体" w:hAnsi="宋体" w:cs="宋体"/>
                <w:color w:val="000000"/>
                <w:kern w:val="2"/>
                <w:lang w:eastAsia="zh-CN"/>
              </w:rPr>
              <w:t>（</w:t>
            </w:r>
            <w:r>
              <w:rPr>
                <w:rFonts w:hint="eastAsia" w:ascii="宋体" w:hAnsi="宋体" w:cs="宋体"/>
                <w:color w:val="000000"/>
                <w:kern w:val="2"/>
                <w:lang w:val="en-US" w:eastAsia="zh-CN"/>
              </w:rPr>
              <w:t>%）</w:t>
            </w:r>
          </w:p>
        </w:tc>
        <w:tc>
          <w:tcPr>
            <w:tcW w:w="4571" w:type="dxa"/>
            <w:tcBorders>
              <w:top w:val="single" w:color="auto" w:sz="4" w:space="0"/>
              <w:left w:val="single" w:color="auto" w:sz="4" w:space="0"/>
              <w:bottom w:val="single" w:color="auto" w:sz="4" w:space="0"/>
              <w:right w:val="single" w:color="auto" w:sz="4" w:space="0"/>
            </w:tcBorders>
            <w:tcMar>
              <w:top w:w="0" w:type="dxa"/>
              <w:left w:w="108" w:type="dxa"/>
              <w:bottom w:w="10" w:type="dxa"/>
              <w:right w:w="118" w:type="dxa"/>
            </w:tcMar>
            <w:vAlign w:val="center"/>
          </w:tcPr>
          <w:p w14:paraId="3F771F0A">
            <w:pPr>
              <w:jc w:val="right"/>
              <w:rPr>
                <w:rFonts w:ascii="宋体" w:hAnsi="宋体" w:cs="宋体"/>
                <w:color w:val="000000"/>
                <w:sz w:val="24"/>
                <w:szCs w:val="24"/>
              </w:rPr>
            </w:pPr>
            <w:r>
              <w:rPr>
                <w:rFonts w:hint="eastAsia" w:ascii="宋体" w:hAnsi="宋体" w:cs="宋体"/>
                <w:color w:val="000000"/>
                <w:sz w:val="24"/>
                <w:szCs w:val="24"/>
              </w:rPr>
              <w:t>0.62</w:t>
            </w:r>
          </w:p>
        </w:tc>
      </w:tr>
    </w:tbl>
    <w:p w14:paraId="3EF29E55">
      <w:pPr>
        <w:spacing w:line="360" w:lineRule="auto"/>
        <w:ind w:right="-107" w:rightChars="-51" w:firstLine="420"/>
        <w:jc w:val="left"/>
        <w:rPr>
          <w:rFonts w:ascii="宋体" w:hAnsi="宋体" w:cs="宋体"/>
          <w:color w:val="000000"/>
          <w:sz w:val="24"/>
          <w:szCs w:val="24"/>
        </w:rPr>
      </w:pPr>
      <w:r>
        <w:rPr>
          <w:rFonts w:ascii="宋体" w:hAnsi="宋体" w:cs="宋体"/>
          <w:color w:val="000000"/>
          <w:sz w:val="24"/>
          <w:szCs w:val="24"/>
        </w:rPr>
        <w:t>注：除产品合同和说明书另有规定外，期末产品份额净值、期末产品份额累计净值按截位法保留至小数点后第8</w:t>
      </w:r>
      <w:r>
        <w:rPr>
          <w:rFonts w:hint="eastAsia" w:ascii="宋体" w:hAnsi="宋体" w:cs="宋体"/>
          <w:color w:val="000000"/>
          <w:sz w:val="24"/>
          <w:szCs w:val="24"/>
        </w:rPr>
        <w:t>位，其他财务指标保留至小数点后第2位。</w:t>
      </w:r>
    </w:p>
    <w:p w14:paraId="57DB7C67">
      <w:pPr>
        <w:ind w:firstLine="400"/>
        <w:jc w:val="center"/>
        <w:rPr>
          <w:rFonts w:eastAsiaTheme="minorEastAsia"/>
        </w:rPr>
      </w:pPr>
    </w:p>
    <w:p w14:paraId="18ADD627">
      <w:pPr>
        <w:jc w:val="center"/>
        <w:rPr>
          <w:rFonts w:ascii="宋体" w:hAnsi="宋体"/>
          <w:bCs/>
          <w:sz w:val="33"/>
          <w:szCs w:val="33"/>
        </w:rPr>
      </w:pPr>
      <w:r>
        <w:rPr>
          <w:rFonts w:hint="eastAsia" w:ascii="宋体" w:hAnsi="宋体"/>
          <w:bCs/>
          <w:sz w:val="33"/>
          <w:szCs w:val="33"/>
        </w:rPr>
        <w:t>4</w:t>
      </w:r>
      <w:r>
        <w:rPr>
          <w:rFonts w:ascii="宋体" w:hAnsi="宋体"/>
          <w:bCs/>
          <w:sz w:val="33"/>
          <w:szCs w:val="33"/>
        </w:rPr>
        <w:t xml:space="preserve"> </w:t>
      </w:r>
      <w:r>
        <w:rPr>
          <w:rFonts w:hint="eastAsia" w:ascii="宋体" w:hAnsi="宋体"/>
          <w:bCs/>
          <w:sz w:val="33"/>
          <w:szCs w:val="33"/>
        </w:rPr>
        <w:t>投资组合报告</w:t>
      </w:r>
    </w:p>
    <w:p w14:paraId="1F9D8E7A">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rPr>
      </w:pPr>
    </w:p>
    <w:p w14:paraId="15158522">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rPr>
      </w:pPr>
    </w:p>
    <w:p w14:paraId="7827DB81">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rPr>
      </w:pPr>
    </w:p>
    <w:p w14:paraId="09D90F65">
      <w:pPr>
        <w:jc w:val="left"/>
        <w:rPr>
          <w:rFonts w:hint="eastAsia" w:ascii="宋体" w:hAnsi="宋体" w:cs="宋体"/>
          <w:color w:val="000000"/>
          <w:sz w:val="24"/>
          <w:szCs w:val="24"/>
        </w:rPr>
      </w:pPr>
      <w:r>
        <w:rPr>
          <w:rFonts w:hint="eastAsia" w:ascii="宋体" w:hAnsi="宋体" w:cs="宋体"/>
          <w:color w:val="000000"/>
          <w:sz w:val="24"/>
          <w:szCs w:val="24"/>
        </w:rPr>
        <w:t>4.1 管理人对报告期内投资组合的投资策略说明</w:t>
      </w:r>
    </w:p>
    <w:p w14:paraId="395F0F4F">
      <w:pPr>
        <w:jc w:val="left"/>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 xml:space="preserve">4.1.1 </w:t>
      </w:r>
      <w:r>
        <w:rPr>
          <w:rFonts w:hint="eastAsia" w:ascii="宋体" w:hAnsi="宋体" w:cs="宋体"/>
          <w:color w:val="000000"/>
          <w:sz w:val="24"/>
          <w:szCs w:val="24"/>
        </w:rPr>
        <w:t>投资组合的</w:t>
      </w:r>
      <w:r>
        <w:rPr>
          <w:rFonts w:hint="eastAsia" w:ascii="宋体" w:hAnsi="宋体" w:cs="宋体"/>
          <w:color w:val="000000"/>
          <w:sz w:val="24"/>
          <w:szCs w:val="24"/>
          <w:lang w:val="en-US" w:eastAsia="zh-CN"/>
        </w:rPr>
        <w:t>投资策略和运作分析</w:t>
      </w:r>
    </w:p>
    <w:p w14:paraId="049792BC">
      <w:pPr>
        <w:spacing w:line="360" w:lineRule="auto"/>
        <w:ind w:firstLine="480" w:firstLineChars="200"/>
        <w:jc w:val="left"/>
        <w:rPr>
          <w:rFonts w:hint="default" w:ascii="宋体" w:hAnsi="宋体" w:cs="宋体"/>
          <w:color w:val="000000"/>
          <w:sz w:val="24"/>
          <w:szCs w:val="24"/>
          <w:lang w:val="en-US" w:eastAsia="zh-CN"/>
        </w:rPr>
      </w:pPr>
      <w:r>
        <w:rPr>
          <w:rFonts w:hint="default" w:ascii="宋体" w:hAnsi="宋体" w:cs="宋体"/>
          <w:color w:val="000000"/>
          <w:sz w:val="24"/>
          <w:szCs w:val="24"/>
          <w:lang w:val="en-US" w:eastAsia="zh-CN"/>
        </w:rPr>
        <w:t>2026年上半年，在经济弱复苏、货币政策宽松的背景下，债券市场呈现“震荡走强”格局。一季度，国内经济弱复苏，货币政策维持适度宽松基调，外围扰动加大，债券收益率震荡下行。1月在股债跷跷板效应以及年初配置盘集中入场的影响下，债券收益率先上后下；2月资金宽松主导债券市场定价，收益率持续下行；3月美伊战争引发的通胀预期和资金宽松影响下，债券长短行情分化，曲线收益率陡峭化，整体震荡偏强。二季度在经济基本面数据偏弱的背景下，资金成为影响市场收益率定价的核心因素。4月流动性超预期宽松，收益率下行；5月资金松紧交替、整体偏松；6月流动性转紧，债券收益率反弹后进入窄幅震荡阶段。</w:t>
      </w:r>
    </w:p>
    <w:p w14:paraId="17C64669">
      <w:pPr>
        <w:spacing w:line="360" w:lineRule="auto"/>
        <w:ind w:firstLine="480" w:firstLineChars="200"/>
        <w:jc w:val="left"/>
        <w:rPr>
          <w:rFonts w:hint="default" w:ascii="宋体" w:hAnsi="宋体" w:cs="宋体"/>
          <w:color w:val="000000"/>
          <w:sz w:val="24"/>
          <w:szCs w:val="24"/>
          <w:lang w:val="en-US" w:eastAsia="zh-CN"/>
        </w:rPr>
      </w:pPr>
      <w:r>
        <w:rPr>
          <w:rFonts w:hint="default" w:ascii="宋体" w:hAnsi="宋体" w:cs="宋体"/>
          <w:color w:val="000000"/>
          <w:sz w:val="24"/>
          <w:szCs w:val="24"/>
          <w:lang w:val="en-US" w:eastAsia="zh-CN"/>
        </w:rPr>
        <w:t>现金管理类产品坚守稳健审慎运作思路，严格把控信用风险、流动性风险。组合以高等级信用债为核心底仓，依托优质主体票息夯实基础收益；同步配置利率债、同业存单等高流动性资产，保障组合流动性安全。2026年上半年，结合货币资金与债券市场走势，动态调整组合杠杆水平，优化资产持仓结构与剩余期限，平衡好流动性安全、信用风险与收益目标，实现组合平稳有序运行。</w:t>
      </w:r>
    </w:p>
    <w:p w14:paraId="261CDA0E">
      <w:pPr>
        <w:jc w:val="left"/>
        <w:rPr>
          <w:rFonts w:ascii="宋体" w:hAnsi="宋体" w:cs="宋体"/>
          <w:color w:val="000000"/>
          <w:sz w:val="24"/>
          <w:szCs w:val="24"/>
        </w:rPr>
      </w:pPr>
      <w:r>
        <w:rPr>
          <w:rFonts w:hint="eastAsia" w:ascii="宋体" w:hAnsi="宋体" w:cs="宋体"/>
          <w:color w:val="000000"/>
          <w:sz w:val="24"/>
          <w:szCs w:val="24"/>
          <w:lang w:val="en-US" w:eastAsia="zh-CN"/>
        </w:rPr>
        <w:t xml:space="preserve">4.1.2 </w:t>
      </w:r>
      <w:r>
        <w:rPr>
          <w:rFonts w:hint="eastAsia" w:ascii="宋体" w:hAnsi="宋体" w:cs="宋体"/>
          <w:color w:val="000000"/>
          <w:sz w:val="24"/>
          <w:szCs w:val="24"/>
        </w:rPr>
        <w:t>投资组合的流动性风险分析</w:t>
      </w:r>
    </w:p>
    <w:p w14:paraId="27D161EE">
      <w:pPr>
        <w:spacing w:line="360" w:lineRule="auto"/>
        <w:ind w:firstLine="480" w:firstLineChars="200"/>
        <w:jc w:val="left"/>
        <w:rPr>
          <w:rFonts w:hint="eastAsia" w:ascii="宋体" w:hAnsi="宋体" w:cs="宋体"/>
          <w:color w:val="000000"/>
          <w:sz w:val="24"/>
          <w:szCs w:val="24"/>
        </w:rPr>
      </w:pPr>
      <w:r>
        <w:rPr>
          <w:rFonts w:hint="eastAsia" w:ascii="宋体" w:hAnsi="宋体" w:cs="宋体"/>
          <w:color w:val="000000"/>
          <w:sz w:val="24"/>
          <w:szCs w:val="24"/>
        </w:rPr>
        <w:t>本产品投资方向为固收类资产，本行审慎对国内外宏观经济形势、市场利率走势及债券市场资金供求情况综合分析，预测债券市场利率走势，结合流动性预判及各类流动性管理措施，并对各投资品种收益率、波动性、各类风险进行在控制风险的前提下，积极构建及调整投资组合，力争合理的流动性安排。</w:t>
      </w:r>
    </w:p>
    <w:p w14:paraId="127C8EF3">
      <w:pPr>
        <w:spacing w:line="360" w:lineRule="auto"/>
        <w:ind w:firstLine="480" w:firstLineChars="200"/>
        <w:jc w:val="left"/>
        <w:rPr>
          <w:rFonts w:ascii="宋体" w:hAnsi="宋体" w:cs="宋体"/>
          <w:color w:val="000000"/>
          <w:sz w:val="24"/>
          <w:szCs w:val="24"/>
        </w:rPr>
      </w:pPr>
    </w:p>
    <w:p w14:paraId="35FE43BD">
      <w:pPr>
        <w:jc w:val="left"/>
        <w:rPr>
          <w:rFonts w:ascii="宋体" w:hAnsi="宋体" w:cs="宋体"/>
          <w:color w:val="000000"/>
          <w:sz w:val="24"/>
          <w:szCs w:val="24"/>
        </w:rPr>
      </w:pPr>
      <w:r>
        <w:rPr>
          <w:rFonts w:hint="eastAsia" w:ascii="宋体" w:hAnsi="宋体" w:cs="宋体"/>
          <w:color w:val="000000"/>
          <w:sz w:val="24"/>
          <w:szCs w:val="24"/>
        </w:rPr>
        <w:t>4.2 报告期末资产情况</w:t>
      </w:r>
    </w:p>
    <w:p w14:paraId="1450284D">
      <w:pPr>
        <w:jc w:val="right"/>
        <w:rPr>
          <w:rFonts w:ascii="宋体" w:hAnsi="宋体" w:cs="宋体"/>
          <w:color w:val="000000"/>
          <w:sz w:val="24"/>
          <w:szCs w:val="24"/>
        </w:rPr>
      </w:pPr>
      <w:r>
        <w:rPr>
          <w:rFonts w:hint="eastAsia" w:ascii="宋体" w:hAnsi="宋体" w:cs="宋体"/>
          <w:color w:val="000000"/>
          <w:sz w:val="24"/>
          <w:szCs w:val="24"/>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6186D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587CA6EF">
            <w:pPr>
              <w:jc w:val="center"/>
              <w:rPr>
                <w:rFonts w:ascii="宋体" w:hAnsi="宋体"/>
                <w:b/>
                <w:sz w:val="24"/>
                <w:szCs w:val="24"/>
              </w:rPr>
            </w:pPr>
            <w:r>
              <w:rPr>
                <w:rFonts w:hint="eastAsia" w:ascii="宋体" w:hAnsi="宋体"/>
                <w:b/>
                <w:sz w:val="24"/>
                <w:szCs w:val="24"/>
              </w:rPr>
              <w:t>序号</w:t>
            </w:r>
          </w:p>
        </w:tc>
        <w:tc>
          <w:tcPr>
            <w:tcW w:w="1447" w:type="dxa"/>
            <w:vMerge w:val="restart"/>
            <w:shd w:val="clear" w:color="auto" w:fill="D9D9D9"/>
            <w:vAlign w:val="center"/>
          </w:tcPr>
          <w:p w14:paraId="4F8F760C">
            <w:pPr>
              <w:jc w:val="center"/>
              <w:rPr>
                <w:rFonts w:ascii="宋体" w:hAnsi="宋体"/>
                <w:b/>
                <w:sz w:val="24"/>
                <w:szCs w:val="24"/>
              </w:rPr>
            </w:pPr>
            <w:r>
              <w:rPr>
                <w:rFonts w:hint="eastAsia" w:ascii="宋体" w:hAnsi="宋体"/>
                <w:b/>
                <w:sz w:val="24"/>
                <w:szCs w:val="24"/>
              </w:rPr>
              <w:t>项目</w:t>
            </w:r>
          </w:p>
        </w:tc>
        <w:tc>
          <w:tcPr>
            <w:tcW w:w="3446" w:type="dxa"/>
            <w:gridSpan w:val="2"/>
            <w:shd w:val="clear" w:color="auto" w:fill="D9D9D9"/>
            <w:vAlign w:val="center"/>
          </w:tcPr>
          <w:p w14:paraId="32A5D146">
            <w:pPr>
              <w:jc w:val="center"/>
              <w:rPr>
                <w:rFonts w:ascii="宋体" w:hAnsi="宋体"/>
                <w:b/>
                <w:sz w:val="24"/>
                <w:szCs w:val="24"/>
              </w:rPr>
            </w:pPr>
            <w:r>
              <w:rPr>
                <w:rFonts w:hint="eastAsia" w:ascii="宋体" w:hAnsi="宋体"/>
                <w:b/>
                <w:sz w:val="24"/>
                <w:szCs w:val="24"/>
              </w:rPr>
              <w:t>直接</w:t>
            </w:r>
            <w:r>
              <w:rPr>
                <w:rFonts w:ascii="宋体" w:hAnsi="宋体"/>
                <w:b/>
                <w:sz w:val="24"/>
                <w:szCs w:val="24"/>
              </w:rPr>
              <w:t>投资</w:t>
            </w:r>
          </w:p>
        </w:tc>
        <w:tc>
          <w:tcPr>
            <w:tcW w:w="3358" w:type="dxa"/>
            <w:gridSpan w:val="2"/>
            <w:shd w:val="clear" w:color="auto" w:fill="D9D9D9"/>
            <w:vAlign w:val="center"/>
          </w:tcPr>
          <w:p w14:paraId="1376DE36">
            <w:pPr>
              <w:jc w:val="center"/>
              <w:rPr>
                <w:rFonts w:ascii="宋体" w:hAnsi="宋体"/>
                <w:b/>
                <w:sz w:val="24"/>
                <w:szCs w:val="24"/>
              </w:rPr>
            </w:pPr>
            <w:r>
              <w:rPr>
                <w:rFonts w:hint="eastAsia" w:ascii="宋体" w:hAnsi="宋体"/>
                <w:b/>
                <w:sz w:val="24"/>
                <w:szCs w:val="24"/>
              </w:rPr>
              <w:t>间接</w:t>
            </w:r>
            <w:r>
              <w:rPr>
                <w:rFonts w:ascii="宋体" w:hAnsi="宋体"/>
                <w:b/>
                <w:sz w:val="24"/>
                <w:szCs w:val="24"/>
              </w:rPr>
              <w:t>投资</w:t>
            </w:r>
          </w:p>
        </w:tc>
      </w:tr>
      <w:tr w14:paraId="18F6B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5ED5BB00">
            <w:pPr>
              <w:jc w:val="center"/>
              <w:rPr>
                <w:rFonts w:ascii="宋体" w:hAnsi="宋体"/>
                <w:b/>
                <w:sz w:val="24"/>
                <w:szCs w:val="24"/>
              </w:rPr>
            </w:pPr>
          </w:p>
        </w:tc>
        <w:tc>
          <w:tcPr>
            <w:tcW w:w="1447" w:type="dxa"/>
            <w:vMerge w:val="continue"/>
            <w:shd w:val="clear" w:color="auto" w:fill="D9D9D9"/>
            <w:vAlign w:val="center"/>
          </w:tcPr>
          <w:p w14:paraId="495F3F93">
            <w:pPr>
              <w:jc w:val="center"/>
              <w:rPr>
                <w:rFonts w:ascii="宋体" w:hAnsi="宋体"/>
                <w:b/>
                <w:sz w:val="24"/>
                <w:szCs w:val="24"/>
              </w:rPr>
            </w:pPr>
          </w:p>
        </w:tc>
        <w:tc>
          <w:tcPr>
            <w:tcW w:w="1697" w:type="dxa"/>
            <w:shd w:val="clear" w:color="auto" w:fill="D9D9D9"/>
            <w:vAlign w:val="center"/>
          </w:tcPr>
          <w:p w14:paraId="424C832B">
            <w:pPr>
              <w:jc w:val="center"/>
              <w:rPr>
                <w:rFonts w:ascii="宋体" w:hAnsi="宋体"/>
                <w:b/>
                <w:sz w:val="24"/>
                <w:szCs w:val="24"/>
              </w:rPr>
            </w:pPr>
            <w:r>
              <w:rPr>
                <w:rFonts w:hint="eastAsia" w:ascii="宋体" w:hAnsi="宋体"/>
                <w:b/>
                <w:sz w:val="24"/>
                <w:szCs w:val="24"/>
              </w:rPr>
              <w:t>金额</w:t>
            </w:r>
          </w:p>
        </w:tc>
        <w:tc>
          <w:tcPr>
            <w:tcW w:w="1749" w:type="dxa"/>
            <w:shd w:val="clear" w:color="auto" w:fill="D9D9D9"/>
            <w:vAlign w:val="center"/>
          </w:tcPr>
          <w:p w14:paraId="30A39AFB">
            <w:pPr>
              <w:jc w:val="center"/>
              <w:rPr>
                <w:rFonts w:ascii="宋体" w:hAnsi="宋体"/>
                <w:b/>
                <w:sz w:val="24"/>
                <w:szCs w:val="24"/>
              </w:rPr>
            </w:pPr>
            <w:r>
              <w:rPr>
                <w:rFonts w:hint="eastAsia" w:ascii="宋体" w:hAnsi="宋体"/>
                <w:b/>
                <w:sz w:val="24"/>
                <w:szCs w:val="24"/>
              </w:rPr>
              <w:t>占产品总资产的比例（%）</w:t>
            </w:r>
          </w:p>
        </w:tc>
        <w:tc>
          <w:tcPr>
            <w:tcW w:w="1653" w:type="dxa"/>
            <w:shd w:val="clear" w:color="auto" w:fill="D9D9D9"/>
            <w:vAlign w:val="center"/>
          </w:tcPr>
          <w:p w14:paraId="56E118D2">
            <w:pPr>
              <w:jc w:val="center"/>
              <w:rPr>
                <w:rFonts w:ascii="宋体" w:hAnsi="宋体"/>
                <w:b/>
                <w:sz w:val="24"/>
                <w:szCs w:val="24"/>
              </w:rPr>
            </w:pPr>
            <w:r>
              <w:rPr>
                <w:rFonts w:hint="eastAsia" w:ascii="宋体" w:hAnsi="宋体"/>
                <w:b/>
                <w:sz w:val="24"/>
                <w:szCs w:val="24"/>
              </w:rPr>
              <w:t>金额</w:t>
            </w:r>
          </w:p>
        </w:tc>
        <w:tc>
          <w:tcPr>
            <w:tcW w:w="1705" w:type="dxa"/>
            <w:shd w:val="clear" w:color="auto" w:fill="D9D9D9"/>
          </w:tcPr>
          <w:p w14:paraId="5C2415E4">
            <w:pPr>
              <w:jc w:val="center"/>
              <w:rPr>
                <w:rFonts w:ascii="宋体" w:hAnsi="宋体"/>
                <w:b/>
                <w:sz w:val="24"/>
                <w:szCs w:val="24"/>
              </w:rPr>
            </w:pPr>
            <w:r>
              <w:rPr>
                <w:rFonts w:hint="eastAsia" w:ascii="宋体" w:hAnsi="宋体"/>
                <w:b/>
                <w:sz w:val="24"/>
                <w:szCs w:val="24"/>
              </w:rPr>
              <w:t>占产品总资产的比例（%）</w:t>
            </w:r>
          </w:p>
        </w:tc>
      </w:tr>
      <w:tr w14:paraId="2242F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F1AE8A5">
            <w:pPr>
              <w:widowControl/>
              <w:jc w:val="center"/>
              <w:rPr>
                <w:rFonts w:ascii="宋体" w:hAnsi="宋体" w:cs="宋体"/>
                <w:color w:val="000000"/>
                <w:sz w:val="24"/>
                <w:szCs w:val="24"/>
              </w:rPr>
            </w:pPr>
            <w:r>
              <w:rPr>
                <w:rFonts w:hint="eastAsia" w:ascii="宋体" w:hAnsi="宋体" w:cs="宋体"/>
                <w:color w:val="000000"/>
                <w:sz w:val="24"/>
                <w:szCs w:val="24"/>
              </w:rPr>
              <w:t>1</w:t>
            </w:r>
          </w:p>
        </w:tc>
        <w:tc>
          <w:tcPr>
            <w:tcW w:w="1447" w:type="dxa"/>
            <w:tcBorders>
              <w:top w:val="nil"/>
              <w:left w:val="nil"/>
              <w:bottom w:val="single" w:color="auto" w:sz="4" w:space="0"/>
              <w:right w:val="single" w:color="auto" w:sz="4" w:space="0"/>
            </w:tcBorders>
            <w:shd w:val="clear" w:color="auto" w:fill="auto"/>
            <w:vAlign w:val="center"/>
          </w:tcPr>
          <w:p w14:paraId="5AD9545C">
            <w:pPr>
              <w:widowControl/>
              <w:rPr>
                <w:rFonts w:ascii="宋体" w:hAnsi="宋体" w:cs="宋体"/>
                <w:color w:val="000000"/>
                <w:sz w:val="24"/>
                <w:szCs w:val="24"/>
              </w:rPr>
            </w:pPr>
            <w:r>
              <w:rPr>
                <w:rFonts w:hint="eastAsia" w:ascii="宋体" w:hAnsi="宋体" w:cs="宋体"/>
                <w:color w:val="000000"/>
                <w:sz w:val="24"/>
                <w:szCs w:val="24"/>
              </w:rPr>
              <w:t>权益投资</w:t>
            </w:r>
          </w:p>
        </w:tc>
        <w:tc>
          <w:tcPr>
            <w:tcW w:w="1697" w:type="dxa"/>
            <w:shd w:val="clear" w:color="auto" w:fill="auto"/>
            <w:vAlign w:val="center"/>
          </w:tcPr>
          <w:p w14:paraId="549A9EB6">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1563A6C7">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6F9E2EF8">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215AAC4C">
            <w:pPr>
              <w:jc w:val="right"/>
              <w:rPr>
                <w:rFonts w:ascii="宋体" w:hAnsi="宋体" w:cs="宋体"/>
                <w:color w:val="000000"/>
                <w:sz w:val="24"/>
                <w:szCs w:val="24"/>
              </w:rPr>
            </w:pPr>
            <w:r>
              <w:rPr>
                <w:rFonts w:ascii="宋体" w:hAnsi="宋体" w:cs="宋体"/>
                <w:color w:val="000000"/>
                <w:sz w:val="24"/>
                <w:szCs w:val="24"/>
              </w:rPr>
              <w:t>0.00</w:t>
            </w:r>
          </w:p>
        </w:tc>
      </w:tr>
      <w:tr w14:paraId="47848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734C6D6E">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7CE83937">
            <w:pPr>
              <w:widowControl/>
              <w:rPr>
                <w:rFonts w:ascii="宋体" w:hAnsi="宋体" w:cs="宋体"/>
                <w:color w:val="000000"/>
                <w:sz w:val="24"/>
                <w:szCs w:val="24"/>
              </w:rPr>
            </w:pPr>
            <w:r>
              <w:rPr>
                <w:rFonts w:hint="eastAsia" w:ascii="宋体" w:hAnsi="宋体" w:cs="宋体"/>
                <w:color w:val="000000"/>
                <w:sz w:val="24"/>
                <w:szCs w:val="24"/>
              </w:rPr>
              <w:t>其中：普通股</w:t>
            </w:r>
          </w:p>
        </w:tc>
        <w:tc>
          <w:tcPr>
            <w:tcW w:w="1697" w:type="dxa"/>
            <w:shd w:val="clear" w:color="auto" w:fill="auto"/>
            <w:vAlign w:val="center"/>
          </w:tcPr>
          <w:p w14:paraId="15644A12">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3CC43C30">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20589277">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12076424">
            <w:pPr>
              <w:jc w:val="right"/>
              <w:rPr>
                <w:rFonts w:ascii="宋体" w:hAnsi="宋体" w:cs="宋体"/>
                <w:color w:val="000000"/>
                <w:sz w:val="24"/>
                <w:szCs w:val="24"/>
              </w:rPr>
            </w:pPr>
            <w:r>
              <w:rPr>
                <w:rFonts w:ascii="宋体" w:hAnsi="宋体" w:cs="宋体"/>
                <w:color w:val="000000"/>
                <w:sz w:val="24"/>
                <w:szCs w:val="24"/>
              </w:rPr>
              <w:t>0.00</w:t>
            </w:r>
          </w:p>
        </w:tc>
      </w:tr>
      <w:tr w14:paraId="3AF7F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28313A53">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58584F3D">
            <w:pPr>
              <w:widowControl/>
              <w:rPr>
                <w:rFonts w:ascii="宋体" w:hAnsi="宋体" w:cs="宋体"/>
                <w:color w:val="000000"/>
                <w:sz w:val="24"/>
                <w:szCs w:val="24"/>
              </w:rPr>
            </w:pPr>
            <w:r>
              <w:rPr>
                <w:rFonts w:hint="eastAsia" w:ascii="宋体" w:hAnsi="宋体" w:cs="宋体"/>
                <w:color w:val="000000"/>
                <w:sz w:val="24"/>
                <w:szCs w:val="24"/>
              </w:rPr>
              <w:t xml:space="preserve">   存托凭证</w:t>
            </w:r>
          </w:p>
        </w:tc>
        <w:tc>
          <w:tcPr>
            <w:tcW w:w="1697" w:type="dxa"/>
            <w:shd w:val="clear" w:color="auto" w:fill="auto"/>
            <w:vAlign w:val="center"/>
          </w:tcPr>
          <w:p w14:paraId="1A284ECB">
            <w:pPr>
              <w:jc w:val="right"/>
              <w:rPr>
                <w:rFonts w:ascii="宋体" w:hAnsi="宋体" w:cs="宋体"/>
                <w:color w:val="000000"/>
                <w:sz w:val="24"/>
                <w:szCs w:val="24"/>
              </w:rPr>
            </w:pPr>
          </w:p>
        </w:tc>
        <w:tc>
          <w:tcPr>
            <w:tcW w:w="1749" w:type="dxa"/>
            <w:shd w:val="clear" w:color="auto" w:fill="auto"/>
            <w:vAlign w:val="center"/>
          </w:tcPr>
          <w:p w14:paraId="7D9E7CC9">
            <w:pPr>
              <w:jc w:val="right"/>
              <w:rPr>
                <w:rFonts w:ascii="宋体" w:hAnsi="宋体" w:cs="宋体"/>
                <w:color w:val="000000"/>
                <w:sz w:val="24"/>
                <w:szCs w:val="24"/>
              </w:rPr>
            </w:pPr>
          </w:p>
        </w:tc>
        <w:tc>
          <w:tcPr>
            <w:tcW w:w="1653" w:type="dxa"/>
            <w:vAlign w:val="center"/>
          </w:tcPr>
          <w:p w14:paraId="0CB33E57">
            <w:pPr>
              <w:jc w:val="right"/>
              <w:rPr>
                <w:rFonts w:ascii="宋体" w:hAnsi="宋体" w:cs="宋体"/>
                <w:color w:val="000000"/>
                <w:sz w:val="24"/>
                <w:szCs w:val="24"/>
              </w:rPr>
            </w:pPr>
          </w:p>
        </w:tc>
        <w:tc>
          <w:tcPr>
            <w:tcW w:w="1705" w:type="dxa"/>
            <w:vAlign w:val="center"/>
          </w:tcPr>
          <w:p w14:paraId="36400730">
            <w:pPr>
              <w:jc w:val="right"/>
              <w:rPr>
                <w:rFonts w:ascii="宋体" w:hAnsi="宋体" w:cs="宋体"/>
                <w:color w:val="000000"/>
                <w:sz w:val="24"/>
                <w:szCs w:val="24"/>
              </w:rPr>
            </w:pPr>
          </w:p>
        </w:tc>
      </w:tr>
      <w:tr w14:paraId="1408E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2AEC0F2">
            <w:pPr>
              <w:widowControl/>
              <w:jc w:val="center"/>
              <w:rPr>
                <w:rFonts w:ascii="宋体" w:hAnsi="宋体" w:cs="宋体"/>
                <w:color w:val="000000"/>
                <w:sz w:val="24"/>
                <w:szCs w:val="24"/>
              </w:rPr>
            </w:pPr>
            <w:r>
              <w:rPr>
                <w:rFonts w:hint="eastAsia" w:ascii="宋体" w:hAnsi="宋体" w:cs="宋体"/>
                <w:color w:val="000000"/>
                <w:sz w:val="24"/>
                <w:szCs w:val="24"/>
              </w:rPr>
              <w:t>2</w:t>
            </w:r>
          </w:p>
        </w:tc>
        <w:tc>
          <w:tcPr>
            <w:tcW w:w="1447" w:type="dxa"/>
            <w:tcBorders>
              <w:top w:val="nil"/>
              <w:left w:val="nil"/>
              <w:bottom w:val="single" w:color="auto" w:sz="4" w:space="0"/>
              <w:right w:val="single" w:color="auto" w:sz="4" w:space="0"/>
            </w:tcBorders>
            <w:shd w:val="clear" w:color="auto" w:fill="auto"/>
            <w:vAlign w:val="center"/>
          </w:tcPr>
          <w:p w14:paraId="6651D54F">
            <w:pPr>
              <w:widowControl/>
              <w:rPr>
                <w:rFonts w:ascii="宋体" w:hAnsi="宋体" w:cs="宋体"/>
                <w:color w:val="000000"/>
                <w:sz w:val="24"/>
                <w:szCs w:val="24"/>
              </w:rPr>
            </w:pPr>
            <w:r>
              <w:rPr>
                <w:rFonts w:hint="eastAsia" w:ascii="宋体" w:hAnsi="宋体" w:cs="宋体"/>
                <w:color w:val="000000"/>
                <w:sz w:val="24"/>
                <w:szCs w:val="24"/>
              </w:rPr>
              <w:t>基金投资</w:t>
            </w:r>
          </w:p>
        </w:tc>
        <w:tc>
          <w:tcPr>
            <w:tcW w:w="1697" w:type="dxa"/>
            <w:shd w:val="clear" w:color="auto" w:fill="auto"/>
            <w:vAlign w:val="center"/>
          </w:tcPr>
          <w:p w14:paraId="625D63EB">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3B0FCA47">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3346EA05">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0771B8B3">
            <w:pPr>
              <w:jc w:val="right"/>
              <w:rPr>
                <w:rFonts w:ascii="宋体" w:hAnsi="宋体" w:cs="宋体"/>
                <w:color w:val="000000"/>
                <w:sz w:val="24"/>
                <w:szCs w:val="24"/>
              </w:rPr>
            </w:pPr>
            <w:r>
              <w:rPr>
                <w:rFonts w:ascii="宋体" w:hAnsi="宋体" w:cs="宋体"/>
                <w:color w:val="000000"/>
                <w:sz w:val="24"/>
                <w:szCs w:val="24"/>
              </w:rPr>
              <w:t>0.00</w:t>
            </w:r>
          </w:p>
        </w:tc>
      </w:tr>
      <w:tr w14:paraId="4B055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064AE2F">
            <w:pPr>
              <w:widowControl/>
              <w:jc w:val="center"/>
              <w:rPr>
                <w:rFonts w:ascii="宋体" w:hAnsi="宋体" w:cs="宋体"/>
                <w:color w:val="000000"/>
                <w:sz w:val="24"/>
                <w:szCs w:val="24"/>
              </w:rPr>
            </w:pPr>
            <w:r>
              <w:rPr>
                <w:rFonts w:hint="eastAsia" w:ascii="宋体" w:hAnsi="宋体" w:cs="宋体"/>
                <w:color w:val="000000"/>
                <w:sz w:val="24"/>
                <w:szCs w:val="24"/>
              </w:rPr>
              <w:t>3</w:t>
            </w:r>
          </w:p>
        </w:tc>
        <w:tc>
          <w:tcPr>
            <w:tcW w:w="1447" w:type="dxa"/>
            <w:tcBorders>
              <w:top w:val="nil"/>
              <w:left w:val="nil"/>
              <w:bottom w:val="single" w:color="auto" w:sz="4" w:space="0"/>
              <w:right w:val="single" w:color="auto" w:sz="4" w:space="0"/>
            </w:tcBorders>
            <w:shd w:val="clear" w:color="auto" w:fill="auto"/>
            <w:vAlign w:val="center"/>
          </w:tcPr>
          <w:p w14:paraId="5EADB254">
            <w:pPr>
              <w:widowControl/>
              <w:rPr>
                <w:rFonts w:ascii="宋体" w:hAnsi="宋体" w:cs="宋体"/>
                <w:color w:val="000000"/>
                <w:sz w:val="24"/>
                <w:szCs w:val="24"/>
              </w:rPr>
            </w:pPr>
            <w:r>
              <w:rPr>
                <w:rFonts w:hint="eastAsia" w:ascii="宋体" w:hAnsi="宋体" w:cs="宋体"/>
                <w:color w:val="000000"/>
                <w:sz w:val="24"/>
                <w:szCs w:val="24"/>
              </w:rPr>
              <w:t>固定收益投资</w:t>
            </w:r>
          </w:p>
        </w:tc>
        <w:tc>
          <w:tcPr>
            <w:tcW w:w="1697" w:type="dxa"/>
            <w:shd w:val="clear" w:color="auto" w:fill="auto"/>
            <w:vAlign w:val="center"/>
          </w:tcPr>
          <w:p w14:paraId="4B303103">
            <w:pPr>
              <w:jc w:val="right"/>
              <w:rPr>
                <w:rFonts w:ascii="宋体" w:hAnsi="宋体" w:cs="宋体"/>
                <w:color w:val="000000"/>
                <w:sz w:val="24"/>
                <w:szCs w:val="24"/>
              </w:rPr>
            </w:pPr>
            <w:r>
              <w:rPr>
                <w:rFonts w:ascii="宋体" w:hAnsi="宋体" w:cs="宋体"/>
                <w:color w:val="000000"/>
                <w:sz w:val="24"/>
                <w:szCs w:val="24"/>
              </w:rPr>
              <w:t>3,909,218,314.41</w:t>
            </w:r>
          </w:p>
        </w:tc>
        <w:tc>
          <w:tcPr>
            <w:tcW w:w="1749" w:type="dxa"/>
            <w:shd w:val="clear" w:color="auto" w:fill="auto"/>
            <w:vAlign w:val="center"/>
          </w:tcPr>
          <w:p w14:paraId="0B5C74E6">
            <w:pPr>
              <w:jc w:val="right"/>
              <w:rPr>
                <w:rFonts w:ascii="宋体" w:hAnsi="宋体" w:cs="宋体"/>
                <w:color w:val="000000"/>
                <w:sz w:val="24"/>
                <w:szCs w:val="24"/>
              </w:rPr>
            </w:pPr>
            <w:r>
              <w:rPr>
                <w:rFonts w:ascii="宋体" w:hAnsi="宋体" w:cs="宋体"/>
                <w:color w:val="000000"/>
                <w:sz w:val="24"/>
                <w:szCs w:val="24"/>
              </w:rPr>
              <w:t>97.85</w:t>
            </w:r>
          </w:p>
        </w:tc>
        <w:tc>
          <w:tcPr>
            <w:tcW w:w="1653" w:type="dxa"/>
            <w:vAlign w:val="center"/>
          </w:tcPr>
          <w:p w14:paraId="4B45E1B2">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2FF0F1C9">
            <w:pPr>
              <w:jc w:val="right"/>
              <w:rPr>
                <w:rFonts w:ascii="宋体" w:hAnsi="宋体" w:cs="宋体"/>
                <w:color w:val="000000"/>
                <w:sz w:val="24"/>
                <w:szCs w:val="24"/>
              </w:rPr>
            </w:pPr>
            <w:r>
              <w:rPr>
                <w:rFonts w:ascii="宋体" w:hAnsi="宋体" w:cs="宋体"/>
                <w:color w:val="000000"/>
                <w:sz w:val="24"/>
                <w:szCs w:val="24"/>
              </w:rPr>
              <w:t>0.00</w:t>
            </w:r>
          </w:p>
        </w:tc>
      </w:tr>
      <w:tr w14:paraId="0C83D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5D96F619">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nil"/>
              <w:right w:val="single" w:color="auto" w:sz="4" w:space="0"/>
            </w:tcBorders>
            <w:shd w:val="clear" w:color="auto" w:fill="auto"/>
            <w:vAlign w:val="center"/>
          </w:tcPr>
          <w:p w14:paraId="4C5AB551">
            <w:pPr>
              <w:widowControl/>
              <w:rPr>
                <w:rFonts w:ascii="宋体" w:hAnsi="宋体" w:cs="宋体"/>
                <w:color w:val="000000"/>
                <w:sz w:val="24"/>
                <w:szCs w:val="24"/>
              </w:rPr>
            </w:pPr>
            <w:r>
              <w:rPr>
                <w:rFonts w:hint="eastAsia" w:ascii="宋体" w:hAnsi="宋体" w:cs="宋体"/>
                <w:color w:val="000000"/>
                <w:sz w:val="24"/>
                <w:szCs w:val="24"/>
              </w:rPr>
              <w:t>其中：债券</w:t>
            </w:r>
          </w:p>
        </w:tc>
        <w:tc>
          <w:tcPr>
            <w:tcW w:w="1697" w:type="dxa"/>
            <w:shd w:val="clear" w:color="auto" w:fill="auto"/>
            <w:vAlign w:val="center"/>
          </w:tcPr>
          <w:p w14:paraId="6ABED19F">
            <w:pPr>
              <w:jc w:val="right"/>
              <w:rPr>
                <w:rFonts w:ascii="宋体" w:hAnsi="宋体" w:cs="宋体"/>
                <w:color w:val="000000"/>
                <w:sz w:val="24"/>
                <w:szCs w:val="24"/>
              </w:rPr>
            </w:pPr>
            <w:r>
              <w:rPr>
                <w:rFonts w:ascii="宋体" w:hAnsi="宋体" w:cs="宋体"/>
                <w:color w:val="000000"/>
                <w:sz w:val="24"/>
                <w:szCs w:val="24"/>
              </w:rPr>
              <w:t>3,843,254,776.26</w:t>
            </w:r>
          </w:p>
        </w:tc>
        <w:tc>
          <w:tcPr>
            <w:tcW w:w="1749" w:type="dxa"/>
            <w:shd w:val="clear" w:color="auto" w:fill="auto"/>
            <w:vAlign w:val="center"/>
          </w:tcPr>
          <w:p w14:paraId="368E45B3">
            <w:pPr>
              <w:jc w:val="right"/>
              <w:rPr>
                <w:rFonts w:ascii="宋体" w:hAnsi="宋体" w:cs="宋体"/>
                <w:color w:val="000000"/>
                <w:sz w:val="24"/>
                <w:szCs w:val="24"/>
              </w:rPr>
            </w:pPr>
            <w:r>
              <w:rPr>
                <w:rFonts w:ascii="宋体" w:hAnsi="宋体" w:cs="宋体"/>
                <w:color w:val="000000"/>
                <w:sz w:val="24"/>
                <w:szCs w:val="24"/>
              </w:rPr>
              <w:t>96.19</w:t>
            </w:r>
          </w:p>
        </w:tc>
        <w:tc>
          <w:tcPr>
            <w:tcW w:w="1653" w:type="dxa"/>
            <w:vAlign w:val="center"/>
          </w:tcPr>
          <w:p w14:paraId="4207BCC6">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14D29A84">
            <w:pPr>
              <w:jc w:val="right"/>
              <w:rPr>
                <w:rFonts w:ascii="宋体" w:hAnsi="宋体" w:cs="宋体"/>
                <w:color w:val="000000"/>
                <w:sz w:val="24"/>
                <w:szCs w:val="24"/>
              </w:rPr>
            </w:pPr>
            <w:r>
              <w:rPr>
                <w:rFonts w:ascii="宋体" w:hAnsi="宋体" w:cs="宋体"/>
                <w:color w:val="000000"/>
                <w:sz w:val="24"/>
                <w:szCs w:val="24"/>
              </w:rPr>
              <w:t>0.00</w:t>
            </w:r>
          </w:p>
        </w:tc>
      </w:tr>
      <w:tr w14:paraId="77D62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3C6559DB">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69CB4024">
            <w:pPr>
              <w:widowControl/>
              <w:rPr>
                <w:rFonts w:ascii="宋体" w:hAnsi="宋体" w:cs="宋体"/>
                <w:color w:val="000000"/>
                <w:sz w:val="24"/>
                <w:szCs w:val="24"/>
              </w:rPr>
            </w:pPr>
            <w:r>
              <w:rPr>
                <w:rFonts w:hint="eastAsia" w:ascii="宋体" w:hAnsi="宋体" w:cs="宋体"/>
                <w:color w:val="000000"/>
                <w:sz w:val="24"/>
                <w:szCs w:val="24"/>
              </w:rPr>
              <w:t>资产支持证券</w:t>
            </w:r>
          </w:p>
        </w:tc>
        <w:tc>
          <w:tcPr>
            <w:tcW w:w="1697" w:type="dxa"/>
            <w:shd w:val="clear" w:color="auto" w:fill="auto"/>
            <w:vAlign w:val="center"/>
          </w:tcPr>
          <w:p w14:paraId="2CA078C9">
            <w:pPr>
              <w:jc w:val="right"/>
              <w:rPr>
                <w:rFonts w:ascii="宋体" w:hAnsi="宋体" w:cs="宋体"/>
                <w:color w:val="000000"/>
                <w:sz w:val="24"/>
                <w:szCs w:val="24"/>
              </w:rPr>
            </w:pPr>
            <w:r>
              <w:rPr>
                <w:rFonts w:ascii="宋体" w:hAnsi="宋体" w:cs="宋体"/>
                <w:color w:val="000000"/>
                <w:sz w:val="24"/>
                <w:szCs w:val="24"/>
              </w:rPr>
              <w:t>65,963,538.15</w:t>
            </w:r>
          </w:p>
        </w:tc>
        <w:tc>
          <w:tcPr>
            <w:tcW w:w="1749" w:type="dxa"/>
            <w:shd w:val="clear" w:color="auto" w:fill="auto"/>
            <w:vAlign w:val="center"/>
          </w:tcPr>
          <w:p w14:paraId="71EA01B0">
            <w:pPr>
              <w:jc w:val="right"/>
              <w:rPr>
                <w:rFonts w:ascii="宋体" w:hAnsi="宋体" w:cs="宋体"/>
                <w:color w:val="000000"/>
                <w:sz w:val="24"/>
                <w:szCs w:val="24"/>
              </w:rPr>
            </w:pPr>
            <w:r>
              <w:rPr>
                <w:rFonts w:ascii="宋体" w:hAnsi="宋体" w:cs="宋体"/>
                <w:color w:val="000000"/>
                <w:sz w:val="24"/>
                <w:szCs w:val="24"/>
              </w:rPr>
              <w:t>1.65</w:t>
            </w:r>
          </w:p>
        </w:tc>
        <w:tc>
          <w:tcPr>
            <w:tcW w:w="1653" w:type="dxa"/>
            <w:vAlign w:val="center"/>
          </w:tcPr>
          <w:p w14:paraId="64D8C5FE">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17C347FA">
            <w:pPr>
              <w:jc w:val="right"/>
              <w:rPr>
                <w:rFonts w:ascii="宋体" w:hAnsi="宋体" w:cs="宋体"/>
                <w:color w:val="000000"/>
                <w:sz w:val="24"/>
                <w:szCs w:val="24"/>
              </w:rPr>
            </w:pPr>
            <w:r>
              <w:rPr>
                <w:rFonts w:ascii="宋体" w:hAnsi="宋体" w:cs="宋体"/>
                <w:color w:val="000000"/>
                <w:sz w:val="24"/>
                <w:szCs w:val="24"/>
              </w:rPr>
              <w:t>0.00</w:t>
            </w:r>
          </w:p>
        </w:tc>
      </w:tr>
      <w:tr w14:paraId="54555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5823284">
            <w:pPr>
              <w:widowControl/>
              <w:jc w:val="center"/>
              <w:rPr>
                <w:rFonts w:ascii="宋体" w:hAnsi="宋体" w:cs="宋体"/>
                <w:color w:val="000000"/>
                <w:sz w:val="24"/>
                <w:szCs w:val="24"/>
              </w:rPr>
            </w:pPr>
            <w:r>
              <w:rPr>
                <w:rFonts w:hint="eastAsia" w:ascii="宋体" w:hAnsi="宋体" w:cs="宋体"/>
                <w:color w:val="000000"/>
                <w:sz w:val="24"/>
                <w:szCs w:val="24"/>
              </w:rPr>
              <w:t>4</w:t>
            </w:r>
          </w:p>
        </w:tc>
        <w:tc>
          <w:tcPr>
            <w:tcW w:w="1447" w:type="dxa"/>
            <w:tcBorders>
              <w:top w:val="nil"/>
              <w:left w:val="nil"/>
              <w:bottom w:val="single" w:color="auto" w:sz="4" w:space="0"/>
              <w:right w:val="single" w:color="auto" w:sz="4" w:space="0"/>
            </w:tcBorders>
            <w:shd w:val="clear" w:color="auto" w:fill="auto"/>
            <w:vAlign w:val="center"/>
          </w:tcPr>
          <w:p w14:paraId="30E3EEB1">
            <w:pPr>
              <w:widowControl/>
              <w:rPr>
                <w:rFonts w:ascii="宋体" w:hAnsi="宋体" w:cs="宋体"/>
                <w:color w:val="000000"/>
                <w:sz w:val="24"/>
                <w:szCs w:val="24"/>
              </w:rPr>
            </w:pPr>
            <w:r>
              <w:rPr>
                <w:rFonts w:hint="eastAsia" w:ascii="宋体" w:hAnsi="宋体" w:cs="宋体"/>
                <w:color w:val="000000"/>
                <w:sz w:val="24"/>
                <w:szCs w:val="24"/>
              </w:rPr>
              <w:t>金融衍生品投资</w:t>
            </w:r>
          </w:p>
        </w:tc>
        <w:tc>
          <w:tcPr>
            <w:tcW w:w="1697" w:type="dxa"/>
            <w:shd w:val="clear" w:color="auto" w:fill="auto"/>
            <w:vAlign w:val="center"/>
          </w:tcPr>
          <w:p w14:paraId="4997CCC1">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19B2A791">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47EF8D7F">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29B4E403">
            <w:pPr>
              <w:jc w:val="right"/>
              <w:rPr>
                <w:rFonts w:ascii="宋体" w:hAnsi="宋体" w:cs="宋体"/>
                <w:color w:val="000000"/>
                <w:sz w:val="24"/>
                <w:szCs w:val="24"/>
              </w:rPr>
            </w:pPr>
            <w:r>
              <w:rPr>
                <w:rFonts w:ascii="宋体" w:hAnsi="宋体" w:cs="宋体"/>
                <w:color w:val="000000"/>
                <w:sz w:val="24"/>
                <w:szCs w:val="24"/>
              </w:rPr>
              <w:t>0.00</w:t>
            </w:r>
          </w:p>
        </w:tc>
      </w:tr>
      <w:tr w14:paraId="57B11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34FCBB3">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2A549AFF">
            <w:pPr>
              <w:widowControl/>
              <w:rPr>
                <w:rFonts w:ascii="宋体" w:hAnsi="宋体" w:cs="宋体"/>
                <w:color w:val="000000"/>
                <w:sz w:val="24"/>
                <w:szCs w:val="24"/>
              </w:rPr>
            </w:pPr>
            <w:r>
              <w:rPr>
                <w:rFonts w:hint="eastAsia" w:ascii="宋体" w:hAnsi="宋体" w:cs="宋体"/>
                <w:color w:val="000000"/>
                <w:sz w:val="24"/>
                <w:szCs w:val="24"/>
              </w:rPr>
              <w:t>其中：远期</w:t>
            </w:r>
          </w:p>
        </w:tc>
        <w:tc>
          <w:tcPr>
            <w:tcW w:w="1697" w:type="dxa"/>
            <w:shd w:val="clear" w:color="auto" w:fill="auto"/>
            <w:vAlign w:val="center"/>
          </w:tcPr>
          <w:p w14:paraId="6946130E">
            <w:pPr>
              <w:jc w:val="right"/>
              <w:rPr>
                <w:rFonts w:ascii="宋体" w:hAnsi="宋体" w:cs="宋体"/>
                <w:color w:val="000000"/>
                <w:sz w:val="24"/>
                <w:szCs w:val="24"/>
              </w:rPr>
            </w:pPr>
          </w:p>
        </w:tc>
        <w:tc>
          <w:tcPr>
            <w:tcW w:w="1749" w:type="dxa"/>
            <w:shd w:val="clear" w:color="auto" w:fill="auto"/>
            <w:vAlign w:val="center"/>
          </w:tcPr>
          <w:p w14:paraId="6F010530">
            <w:pPr>
              <w:jc w:val="right"/>
              <w:rPr>
                <w:rFonts w:ascii="宋体" w:hAnsi="宋体" w:cs="宋体"/>
                <w:color w:val="000000"/>
                <w:sz w:val="24"/>
                <w:szCs w:val="24"/>
              </w:rPr>
            </w:pPr>
          </w:p>
        </w:tc>
        <w:tc>
          <w:tcPr>
            <w:tcW w:w="1653" w:type="dxa"/>
            <w:vAlign w:val="center"/>
          </w:tcPr>
          <w:p w14:paraId="2285D779">
            <w:pPr>
              <w:jc w:val="right"/>
              <w:rPr>
                <w:rFonts w:ascii="宋体" w:hAnsi="宋体" w:cs="宋体"/>
                <w:color w:val="000000"/>
                <w:sz w:val="24"/>
                <w:szCs w:val="24"/>
              </w:rPr>
            </w:pPr>
          </w:p>
        </w:tc>
        <w:tc>
          <w:tcPr>
            <w:tcW w:w="1705" w:type="dxa"/>
            <w:vAlign w:val="center"/>
          </w:tcPr>
          <w:p w14:paraId="28926023">
            <w:pPr>
              <w:jc w:val="right"/>
              <w:rPr>
                <w:rFonts w:ascii="宋体" w:hAnsi="宋体" w:cs="宋体"/>
                <w:color w:val="000000"/>
                <w:sz w:val="24"/>
                <w:szCs w:val="24"/>
              </w:rPr>
            </w:pPr>
          </w:p>
        </w:tc>
      </w:tr>
      <w:tr w14:paraId="1FC8E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F54ABFA">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22DAB363">
            <w:pPr>
              <w:widowControl/>
              <w:rPr>
                <w:rFonts w:ascii="宋体" w:hAnsi="宋体" w:cs="宋体"/>
                <w:color w:val="000000"/>
                <w:sz w:val="24"/>
                <w:szCs w:val="24"/>
              </w:rPr>
            </w:pPr>
            <w:r>
              <w:rPr>
                <w:rFonts w:hint="eastAsia" w:ascii="宋体" w:hAnsi="宋体" w:cs="宋体"/>
                <w:color w:val="000000"/>
                <w:sz w:val="24"/>
                <w:szCs w:val="24"/>
              </w:rPr>
              <w:t xml:space="preserve">      期货</w:t>
            </w:r>
          </w:p>
        </w:tc>
        <w:tc>
          <w:tcPr>
            <w:tcW w:w="1697" w:type="dxa"/>
            <w:shd w:val="clear" w:color="auto" w:fill="auto"/>
            <w:vAlign w:val="center"/>
          </w:tcPr>
          <w:p w14:paraId="12BFA9FC">
            <w:pPr>
              <w:jc w:val="right"/>
              <w:rPr>
                <w:rFonts w:ascii="宋体" w:hAnsi="宋体" w:cs="宋体"/>
                <w:color w:val="000000"/>
                <w:sz w:val="24"/>
                <w:szCs w:val="24"/>
              </w:rPr>
            </w:pPr>
          </w:p>
        </w:tc>
        <w:tc>
          <w:tcPr>
            <w:tcW w:w="1749" w:type="dxa"/>
            <w:shd w:val="clear" w:color="auto" w:fill="auto"/>
            <w:vAlign w:val="center"/>
          </w:tcPr>
          <w:p w14:paraId="4BC70A00">
            <w:pPr>
              <w:jc w:val="right"/>
              <w:rPr>
                <w:rFonts w:ascii="宋体" w:hAnsi="宋体" w:cs="宋体"/>
                <w:color w:val="000000"/>
                <w:sz w:val="24"/>
                <w:szCs w:val="24"/>
              </w:rPr>
            </w:pPr>
          </w:p>
        </w:tc>
        <w:tc>
          <w:tcPr>
            <w:tcW w:w="1653" w:type="dxa"/>
            <w:vAlign w:val="center"/>
          </w:tcPr>
          <w:p w14:paraId="371E615C">
            <w:pPr>
              <w:jc w:val="right"/>
              <w:rPr>
                <w:rFonts w:ascii="宋体" w:hAnsi="宋体" w:cs="宋体"/>
                <w:color w:val="000000"/>
                <w:sz w:val="24"/>
                <w:szCs w:val="24"/>
              </w:rPr>
            </w:pPr>
          </w:p>
        </w:tc>
        <w:tc>
          <w:tcPr>
            <w:tcW w:w="1705" w:type="dxa"/>
            <w:vAlign w:val="center"/>
          </w:tcPr>
          <w:p w14:paraId="50853DCF">
            <w:pPr>
              <w:jc w:val="right"/>
              <w:rPr>
                <w:rFonts w:ascii="宋体" w:hAnsi="宋体" w:cs="宋体"/>
                <w:color w:val="000000"/>
                <w:sz w:val="24"/>
                <w:szCs w:val="24"/>
              </w:rPr>
            </w:pPr>
          </w:p>
        </w:tc>
      </w:tr>
      <w:tr w14:paraId="1A907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04DE7FA">
            <w:pPr>
              <w:widowControl/>
              <w:jc w:val="center"/>
              <w:rPr>
                <w:rFonts w:ascii="宋体" w:hAnsi="宋体" w:cs="宋体"/>
                <w:color w:val="000000"/>
                <w:sz w:val="24"/>
                <w:szCs w:val="24"/>
              </w:rPr>
            </w:pPr>
            <w:r>
              <w:rPr>
                <w:rFonts w:hint="eastAsia" w:ascii="宋体" w:hAnsi="宋体" w:cs="宋体"/>
                <w:color w:val="000000"/>
                <w:sz w:val="24"/>
                <w:szCs w:val="24"/>
              </w:rPr>
              <w:t xml:space="preserve"> </w:t>
            </w:r>
          </w:p>
        </w:tc>
        <w:tc>
          <w:tcPr>
            <w:tcW w:w="1447" w:type="dxa"/>
            <w:tcBorders>
              <w:top w:val="nil"/>
              <w:left w:val="nil"/>
              <w:bottom w:val="single" w:color="auto" w:sz="4" w:space="0"/>
              <w:right w:val="single" w:color="auto" w:sz="4" w:space="0"/>
            </w:tcBorders>
            <w:shd w:val="clear" w:color="auto" w:fill="auto"/>
            <w:vAlign w:val="center"/>
          </w:tcPr>
          <w:p w14:paraId="65EB859F">
            <w:pPr>
              <w:widowControl/>
              <w:rPr>
                <w:rFonts w:ascii="宋体" w:hAnsi="宋体" w:cs="宋体"/>
                <w:color w:val="000000"/>
                <w:sz w:val="24"/>
                <w:szCs w:val="24"/>
              </w:rPr>
            </w:pPr>
            <w:r>
              <w:rPr>
                <w:rFonts w:hint="eastAsia" w:ascii="宋体" w:hAnsi="宋体" w:cs="宋体"/>
                <w:color w:val="000000"/>
                <w:sz w:val="24"/>
                <w:szCs w:val="24"/>
              </w:rPr>
              <w:t xml:space="preserve">      期权</w:t>
            </w:r>
          </w:p>
        </w:tc>
        <w:tc>
          <w:tcPr>
            <w:tcW w:w="1697" w:type="dxa"/>
            <w:shd w:val="clear" w:color="auto" w:fill="auto"/>
            <w:vAlign w:val="center"/>
          </w:tcPr>
          <w:p w14:paraId="64F2CD84">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5B05EED3">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0CE0E722">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4597DE09">
            <w:pPr>
              <w:jc w:val="right"/>
              <w:rPr>
                <w:rFonts w:ascii="宋体" w:hAnsi="宋体" w:cs="宋体"/>
                <w:color w:val="000000"/>
                <w:sz w:val="24"/>
                <w:szCs w:val="24"/>
              </w:rPr>
            </w:pPr>
            <w:r>
              <w:rPr>
                <w:rFonts w:ascii="宋体" w:hAnsi="宋体" w:cs="宋体"/>
                <w:color w:val="000000"/>
                <w:sz w:val="24"/>
                <w:szCs w:val="24"/>
              </w:rPr>
              <w:t>0.00</w:t>
            </w:r>
          </w:p>
        </w:tc>
      </w:tr>
      <w:tr w14:paraId="5029D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A66E536">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7D4326A5">
            <w:pPr>
              <w:widowControl/>
              <w:rPr>
                <w:rFonts w:ascii="宋体" w:hAnsi="宋体" w:cs="宋体"/>
                <w:color w:val="000000"/>
                <w:sz w:val="24"/>
                <w:szCs w:val="24"/>
              </w:rPr>
            </w:pPr>
            <w:r>
              <w:rPr>
                <w:rFonts w:hint="eastAsia" w:ascii="宋体" w:hAnsi="宋体" w:cs="宋体"/>
                <w:color w:val="000000"/>
                <w:sz w:val="24"/>
                <w:szCs w:val="24"/>
              </w:rPr>
              <w:t xml:space="preserve">      权证</w:t>
            </w:r>
          </w:p>
        </w:tc>
        <w:tc>
          <w:tcPr>
            <w:tcW w:w="1697" w:type="dxa"/>
            <w:shd w:val="clear" w:color="auto" w:fill="auto"/>
            <w:vAlign w:val="center"/>
          </w:tcPr>
          <w:p w14:paraId="7BB29C7D">
            <w:pPr>
              <w:jc w:val="right"/>
              <w:rPr>
                <w:rFonts w:ascii="宋体" w:hAnsi="宋体" w:cs="宋体"/>
                <w:color w:val="000000"/>
                <w:sz w:val="24"/>
                <w:szCs w:val="24"/>
              </w:rPr>
            </w:pPr>
          </w:p>
        </w:tc>
        <w:tc>
          <w:tcPr>
            <w:tcW w:w="1749" w:type="dxa"/>
            <w:shd w:val="clear" w:color="auto" w:fill="auto"/>
            <w:vAlign w:val="center"/>
          </w:tcPr>
          <w:p w14:paraId="473D32FA">
            <w:pPr>
              <w:jc w:val="right"/>
              <w:rPr>
                <w:rFonts w:ascii="宋体" w:hAnsi="宋体" w:cs="宋体"/>
                <w:color w:val="000000"/>
                <w:sz w:val="24"/>
                <w:szCs w:val="24"/>
              </w:rPr>
            </w:pPr>
          </w:p>
        </w:tc>
        <w:tc>
          <w:tcPr>
            <w:tcW w:w="1653" w:type="dxa"/>
            <w:vAlign w:val="center"/>
          </w:tcPr>
          <w:p w14:paraId="455ABF4C">
            <w:pPr>
              <w:jc w:val="right"/>
              <w:rPr>
                <w:rFonts w:ascii="宋体" w:hAnsi="宋体" w:cs="宋体"/>
                <w:color w:val="000000"/>
                <w:sz w:val="24"/>
                <w:szCs w:val="24"/>
              </w:rPr>
            </w:pPr>
          </w:p>
        </w:tc>
        <w:tc>
          <w:tcPr>
            <w:tcW w:w="1705" w:type="dxa"/>
            <w:vAlign w:val="center"/>
          </w:tcPr>
          <w:p w14:paraId="5BEA8924">
            <w:pPr>
              <w:jc w:val="right"/>
              <w:rPr>
                <w:rFonts w:ascii="宋体" w:hAnsi="宋体" w:cs="宋体"/>
                <w:color w:val="000000"/>
                <w:sz w:val="24"/>
                <w:szCs w:val="24"/>
              </w:rPr>
            </w:pPr>
          </w:p>
        </w:tc>
      </w:tr>
      <w:tr w14:paraId="3740D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2AD783F">
            <w:pPr>
              <w:widowControl/>
              <w:jc w:val="center"/>
              <w:rPr>
                <w:rFonts w:ascii="宋体" w:hAnsi="宋体" w:cs="宋体"/>
                <w:color w:val="000000"/>
                <w:sz w:val="24"/>
                <w:szCs w:val="24"/>
              </w:rPr>
            </w:pPr>
            <w:r>
              <w:rPr>
                <w:rFonts w:hint="eastAsia" w:ascii="宋体" w:hAnsi="宋体" w:cs="宋体"/>
                <w:color w:val="000000"/>
                <w:sz w:val="24"/>
                <w:szCs w:val="24"/>
              </w:rPr>
              <w:t>5</w:t>
            </w:r>
          </w:p>
        </w:tc>
        <w:tc>
          <w:tcPr>
            <w:tcW w:w="1447" w:type="dxa"/>
            <w:tcBorders>
              <w:top w:val="nil"/>
              <w:left w:val="nil"/>
              <w:bottom w:val="single" w:color="auto" w:sz="4" w:space="0"/>
              <w:right w:val="single" w:color="auto" w:sz="4" w:space="0"/>
            </w:tcBorders>
            <w:shd w:val="clear" w:color="auto" w:fill="auto"/>
            <w:vAlign w:val="center"/>
          </w:tcPr>
          <w:p w14:paraId="14EFD7E3">
            <w:pPr>
              <w:widowControl/>
              <w:rPr>
                <w:rFonts w:ascii="宋体" w:hAnsi="宋体" w:cs="宋体"/>
                <w:color w:val="000000"/>
                <w:sz w:val="24"/>
                <w:szCs w:val="24"/>
              </w:rPr>
            </w:pPr>
            <w:r>
              <w:rPr>
                <w:rFonts w:hint="eastAsia" w:ascii="宋体" w:hAnsi="宋体" w:cs="宋体"/>
                <w:color w:val="000000"/>
                <w:sz w:val="24"/>
                <w:szCs w:val="24"/>
              </w:rPr>
              <w:t>买入返售金融资产</w:t>
            </w:r>
          </w:p>
        </w:tc>
        <w:tc>
          <w:tcPr>
            <w:tcW w:w="1697" w:type="dxa"/>
            <w:shd w:val="clear" w:color="auto" w:fill="auto"/>
            <w:vAlign w:val="center"/>
          </w:tcPr>
          <w:p w14:paraId="5D576698">
            <w:pPr>
              <w:jc w:val="right"/>
              <w:rPr>
                <w:rFonts w:ascii="宋体" w:hAnsi="宋体" w:cs="宋体"/>
                <w:color w:val="000000"/>
                <w:sz w:val="24"/>
                <w:szCs w:val="24"/>
              </w:rPr>
            </w:pPr>
            <w:r>
              <w:rPr>
                <w:rFonts w:ascii="宋体" w:hAnsi="宋体" w:cs="宋体"/>
                <w:color w:val="000000"/>
                <w:sz w:val="24"/>
                <w:szCs w:val="24"/>
              </w:rPr>
              <w:t>85,003,726.03</w:t>
            </w:r>
          </w:p>
        </w:tc>
        <w:tc>
          <w:tcPr>
            <w:tcW w:w="1749" w:type="dxa"/>
            <w:shd w:val="clear" w:color="auto" w:fill="auto"/>
            <w:vAlign w:val="center"/>
          </w:tcPr>
          <w:p w14:paraId="3923902A">
            <w:pPr>
              <w:jc w:val="right"/>
              <w:rPr>
                <w:rFonts w:ascii="宋体" w:hAnsi="宋体" w:cs="宋体"/>
                <w:color w:val="000000"/>
                <w:sz w:val="24"/>
                <w:szCs w:val="24"/>
              </w:rPr>
            </w:pPr>
            <w:r>
              <w:rPr>
                <w:rFonts w:ascii="宋体" w:hAnsi="宋体" w:cs="宋体"/>
                <w:color w:val="000000"/>
                <w:sz w:val="24"/>
                <w:szCs w:val="24"/>
              </w:rPr>
              <w:t>2.13</w:t>
            </w:r>
          </w:p>
        </w:tc>
        <w:tc>
          <w:tcPr>
            <w:tcW w:w="1653" w:type="dxa"/>
            <w:vAlign w:val="center"/>
          </w:tcPr>
          <w:p w14:paraId="160912B8">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774893CF">
            <w:pPr>
              <w:jc w:val="right"/>
              <w:rPr>
                <w:rFonts w:ascii="宋体" w:hAnsi="宋体" w:cs="宋体"/>
                <w:color w:val="000000"/>
                <w:sz w:val="24"/>
                <w:szCs w:val="24"/>
              </w:rPr>
            </w:pPr>
            <w:r>
              <w:rPr>
                <w:rFonts w:ascii="宋体" w:hAnsi="宋体" w:cs="宋体"/>
                <w:color w:val="000000"/>
                <w:sz w:val="24"/>
                <w:szCs w:val="24"/>
              </w:rPr>
              <w:t>0.00</w:t>
            </w:r>
          </w:p>
        </w:tc>
      </w:tr>
      <w:tr w14:paraId="4E3F1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D00F410">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7814616C">
            <w:pPr>
              <w:widowControl/>
              <w:rPr>
                <w:rFonts w:ascii="宋体" w:hAnsi="宋体" w:cs="宋体"/>
                <w:color w:val="000000"/>
                <w:sz w:val="24"/>
                <w:szCs w:val="24"/>
              </w:rPr>
            </w:pPr>
            <w:r>
              <w:rPr>
                <w:rFonts w:hint="eastAsia" w:ascii="宋体" w:hAnsi="宋体" w:cs="宋体"/>
                <w:color w:val="000000"/>
                <w:sz w:val="24"/>
                <w:szCs w:val="24"/>
              </w:rPr>
              <w:t>其中：买断式回购的买入返售金融资产</w:t>
            </w:r>
          </w:p>
        </w:tc>
        <w:tc>
          <w:tcPr>
            <w:tcW w:w="1697" w:type="dxa"/>
            <w:shd w:val="clear" w:color="auto" w:fill="auto"/>
            <w:vAlign w:val="center"/>
          </w:tcPr>
          <w:p w14:paraId="5C12CDA0">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1D387FAA">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220026E1">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6AFCCD93">
            <w:pPr>
              <w:jc w:val="right"/>
              <w:rPr>
                <w:rFonts w:ascii="宋体" w:hAnsi="宋体" w:cs="宋体"/>
                <w:color w:val="000000"/>
                <w:sz w:val="24"/>
                <w:szCs w:val="24"/>
              </w:rPr>
            </w:pPr>
            <w:r>
              <w:rPr>
                <w:rFonts w:ascii="宋体" w:hAnsi="宋体" w:cs="宋体"/>
                <w:color w:val="000000"/>
                <w:sz w:val="24"/>
                <w:szCs w:val="24"/>
              </w:rPr>
              <w:t>0.00</w:t>
            </w:r>
          </w:p>
        </w:tc>
      </w:tr>
      <w:tr w14:paraId="7F1C9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100C6B9">
            <w:pPr>
              <w:widowControl/>
              <w:jc w:val="center"/>
              <w:rPr>
                <w:rFonts w:ascii="宋体" w:hAnsi="宋体" w:cs="宋体"/>
                <w:color w:val="000000"/>
                <w:sz w:val="24"/>
                <w:szCs w:val="24"/>
              </w:rPr>
            </w:pPr>
            <w:r>
              <w:rPr>
                <w:rFonts w:hint="eastAsia" w:ascii="宋体" w:hAnsi="宋体" w:cs="宋体"/>
                <w:color w:val="000000"/>
                <w:sz w:val="24"/>
                <w:szCs w:val="24"/>
              </w:rPr>
              <w:t>6</w:t>
            </w:r>
          </w:p>
        </w:tc>
        <w:tc>
          <w:tcPr>
            <w:tcW w:w="1447" w:type="dxa"/>
            <w:tcBorders>
              <w:top w:val="nil"/>
              <w:left w:val="nil"/>
              <w:bottom w:val="single" w:color="auto" w:sz="4" w:space="0"/>
              <w:right w:val="single" w:color="auto" w:sz="4" w:space="0"/>
            </w:tcBorders>
            <w:shd w:val="clear" w:color="auto" w:fill="auto"/>
            <w:vAlign w:val="center"/>
          </w:tcPr>
          <w:p w14:paraId="003F8655">
            <w:pPr>
              <w:widowControl/>
              <w:rPr>
                <w:rFonts w:ascii="宋体" w:hAnsi="宋体" w:cs="宋体"/>
                <w:color w:val="000000"/>
                <w:sz w:val="24"/>
                <w:szCs w:val="24"/>
              </w:rPr>
            </w:pPr>
            <w:r>
              <w:rPr>
                <w:rFonts w:hint="eastAsia" w:ascii="宋体" w:hAnsi="宋体" w:cs="宋体"/>
                <w:color w:val="000000"/>
                <w:sz w:val="24"/>
                <w:szCs w:val="24"/>
              </w:rPr>
              <w:t>货币市场工具</w:t>
            </w:r>
          </w:p>
        </w:tc>
        <w:tc>
          <w:tcPr>
            <w:tcW w:w="1697" w:type="dxa"/>
            <w:shd w:val="clear" w:color="auto" w:fill="auto"/>
            <w:vAlign w:val="center"/>
          </w:tcPr>
          <w:p w14:paraId="30A82574">
            <w:pPr>
              <w:jc w:val="right"/>
              <w:rPr>
                <w:rFonts w:ascii="宋体" w:hAnsi="宋体" w:cs="宋体"/>
                <w:color w:val="000000"/>
                <w:sz w:val="24"/>
                <w:szCs w:val="24"/>
              </w:rPr>
            </w:pPr>
          </w:p>
        </w:tc>
        <w:tc>
          <w:tcPr>
            <w:tcW w:w="1749" w:type="dxa"/>
            <w:shd w:val="clear" w:color="auto" w:fill="auto"/>
            <w:vAlign w:val="center"/>
          </w:tcPr>
          <w:p w14:paraId="228AA8B4">
            <w:pPr>
              <w:jc w:val="right"/>
              <w:rPr>
                <w:rFonts w:ascii="宋体" w:hAnsi="宋体" w:cs="宋体"/>
                <w:color w:val="000000"/>
                <w:sz w:val="24"/>
                <w:szCs w:val="24"/>
              </w:rPr>
            </w:pPr>
          </w:p>
        </w:tc>
        <w:tc>
          <w:tcPr>
            <w:tcW w:w="1653" w:type="dxa"/>
            <w:vAlign w:val="center"/>
          </w:tcPr>
          <w:p w14:paraId="66C3EA64">
            <w:pPr>
              <w:jc w:val="right"/>
              <w:rPr>
                <w:rFonts w:ascii="宋体" w:hAnsi="宋体" w:cs="宋体"/>
                <w:color w:val="000000"/>
                <w:sz w:val="24"/>
                <w:szCs w:val="24"/>
              </w:rPr>
            </w:pPr>
          </w:p>
        </w:tc>
        <w:tc>
          <w:tcPr>
            <w:tcW w:w="1705" w:type="dxa"/>
            <w:vAlign w:val="center"/>
          </w:tcPr>
          <w:p w14:paraId="51BDAAF0">
            <w:pPr>
              <w:jc w:val="right"/>
              <w:rPr>
                <w:rFonts w:ascii="宋体" w:hAnsi="宋体" w:cs="宋体"/>
                <w:color w:val="000000"/>
                <w:sz w:val="24"/>
                <w:szCs w:val="24"/>
              </w:rPr>
            </w:pPr>
          </w:p>
        </w:tc>
      </w:tr>
      <w:tr w14:paraId="77305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A18F3E9">
            <w:pPr>
              <w:widowControl/>
              <w:jc w:val="center"/>
              <w:rPr>
                <w:rFonts w:ascii="宋体" w:hAnsi="宋体" w:cs="宋体"/>
                <w:color w:val="000000"/>
                <w:sz w:val="24"/>
                <w:szCs w:val="24"/>
              </w:rPr>
            </w:pPr>
            <w:r>
              <w:rPr>
                <w:rFonts w:hint="eastAsia" w:ascii="宋体" w:hAnsi="宋体" w:cs="宋体"/>
                <w:color w:val="000000"/>
                <w:sz w:val="24"/>
                <w:szCs w:val="24"/>
              </w:rPr>
              <w:t>7</w:t>
            </w:r>
          </w:p>
        </w:tc>
        <w:tc>
          <w:tcPr>
            <w:tcW w:w="1447" w:type="dxa"/>
            <w:tcBorders>
              <w:top w:val="nil"/>
              <w:left w:val="nil"/>
              <w:bottom w:val="single" w:color="auto" w:sz="4" w:space="0"/>
              <w:right w:val="single" w:color="auto" w:sz="4" w:space="0"/>
            </w:tcBorders>
            <w:shd w:val="clear" w:color="auto" w:fill="auto"/>
            <w:vAlign w:val="center"/>
          </w:tcPr>
          <w:p w14:paraId="742B492D">
            <w:pPr>
              <w:widowControl/>
              <w:rPr>
                <w:rFonts w:ascii="宋体" w:hAnsi="宋体" w:cs="宋体"/>
                <w:color w:val="000000"/>
                <w:sz w:val="24"/>
                <w:szCs w:val="24"/>
              </w:rPr>
            </w:pPr>
            <w:r>
              <w:rPr>
                <w:rFonts w:hint="eastAsia" w:ascii="宋体" w:hAnsi="宋体" w:cs="宋体"/>
                <w:color w:val="000000"/>
                <w:sz w:val="24"/>
                <w:szCs w:val="24"/>
              </w:rPr>
              <w:t>银行存款和结算备付金合计</w:t>
            </w:r>
          </w:p>
        </w:tc>
        <w:tc>
          <w:tcPr>
            <w:tcW w:w="1697" w:type="dxa"/>
            <w:shd w:val="clear" w:color="auto" w:fill="auto"/>
            <w:vAlign w:val="center"/>
          </w:tcPr>
          <w:p w14:paraId="5DF1C526">
            <w:pPr>
              <w:jc w:val="right"/>
              <w:rPr>
                <w:rFonts w:ascii="宋体" w:hAnsi="宋体" w:cs="宋体"/>
                <w:color w:val="000000"/>
                <w:sz w:val="24"/>
                <w:szCs w:val="24"/>
              </w:rPr>
            </w:pPr>
            <w:r>
              <w:rPr>
                <w:rFonts w:ascii="宋体" w:hAnsi="宋体" w:cs="宋体"/>
                <w:color w:val="000000"/>
                <w:sz w:val="24"/>
                <w:szCs w:val="24"/>
              </w:rPr>
              <w:t>1,057,992.21</w:t>
            </w:r>
          </w:p>
        </w:tc>
        <w:tc>
          <w:tcPr>
            <w:tcW w:w="1749" w:type="dxa"/>
            <w:shd w:val="clear" w:color="auto" w:fill="auto"/>
            <w:vAlign w:val="center"/>
          </w:tcPr>
          <w:p w14:paraId="60E7B874">
            <w:pPr>
              <w:jc w:val="right"/>
              <w:rPr>
                <w:rFonts w:ascii="宋体" w:hAnsi="宋体" w:cs="宋体"/>
                <w:color w:val="000000"/>
                <w:sz w:val="24"/>
                <w:szCs w:val="24"/>
              </w:rPr>
            </w:pPr>
            <w:r>
              <w:rPr>
                <w:rFonts w:ascii="宋体" w:hAnsi="宋体" w:cs="宋体"/>
                <w:color w:val="000000"/>
                <w:sz w:val="24"/>
                <w:szCs w:val="24"/>
              </w:rPr>
              <w:t>0.03</w:t>
            </w:r>
          </w:p>
        </w:tc>
        <w:tc>
          <w:tcPr>
            <w:tcW w:w="1653" w:type="dxa"/>
            <w:vAlign w:val="center"/>
          </w:tcPr>
          <w:p w14:paraId="27DFCF7D">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2B1D2206">
            <w:pPr>
              <w:jc w:val="right"/>
              <w:rPr>
                <w:rFonts w:ascii="宋体" w:hAnsi="宋体" w:cs="宋体"/>
                <w:color w:val="000000"/>
                <w:sz w:val="24"/>
                <w:szCs w:val="24"/>
              </w:rPr>
            </w:pPr>
            <w:r>
              <w:rPr>
                <w:rFonts w:ascii="宋体" w:hAnsi="宋体" w:cs="宋体"/>
                <w:color w:val="000000"/>
                <w:sz w:val="24"/>
                <w:szCs w:val="24"/>
              </w:rPr>
              <w:t>0.00</w:t>
            </w:r>
          </w:p>
        </w:tc>
      </w:tr>
      <w:tr w14:paraId="6EFE2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7951BB8">
            <w:pPr>
              <w:widowControl/>
              <w:jc w:val="center"/>
              <w:rPr>
                <w:rFonts w:ascii="宋体" w:hAnsi="宋体" w:cs="宋体"/>
                <w:color w:val="000000"/>
                <w:sz w:val="24"/>
                <w:szCs w:val="24"/>
              </w:rPr>
            </w:pPr>
            <w:r>
              <w:rPr>
                <w:rFonts w:hint="eastAsia" w:ascii="宋体" w:hAnsi="宋体" w:cs="宋体"/>
                <w:color w:val="000000"/>
                <w:sz w:val="24"/>
                <w:szCs w:val="24"/>
              </w:rPr>
              <w:t>8</w:t>
            </w:r>
          </w:p>
        </w:tc>
        <w:tc>
          <w:tcPr>
            <w:tcW w:w="1447" w:type="dxa"/>
            <w:tcBorders>
              <w:top w:val="nil"/>
              <w:left w:val="nil"/>
              <w:bottom w:val="single" w:color="auto" w:sz="4" w:space="0"/>
              <w:right w:val="single" w:color="auto" w:sz="4" w:space="0"/>
            </w:tcBorders>
            <w:shd w:val="clear" w:color="auto" w:fill="auto"/>
            <w:vAlign w:val="center"/>
          </w:tcPr>
          <w:p w14:paraId="543BC5A9">
            <w:pPr>
              <w:widowControl/>
              <w:rPr>
                <w:rFonts w:ascii="宋体" w:hAnsi="宋体" w:cs="宋体"/>
                <w:color w:val="000000"/>
                <w:sz w:val="24"/>
                <w:szCs w:val="24"/>
              </w:rPr>
            </w:pPr>
            <w:r>
              <w:rPr>
                <w:rFonts w:hint="eastAsia" w:ascii="宋体" w:hAnsi="宋体" w:cs="宋体"/>
                <w:color w:val="000000"/>
                <w:sz w:val="24"/>
                <w:szCs w:val="24"/>
              </w:rPr>
              <w:t>拆放同业</w:t>
            </w:r>
          </w:p>
        </w:tc>
        <w:tc>
          <w:tcPr>
            <w:tcW w:w="1697" w:type="dxa"/>
            <w:shd w:val="clear" w:color="auto" w:fill="auto"/>
            <w:vAlign w:val="center"/>
          </w:tcPr>
          <w:p w14:paraId="32810F40">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5EE7BEE5">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741B7701">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1BD92336">
            <w:pPr>
              <w:jc w:val="right"/>
              <w:rPr>
                <w:rFonts w:ascii="宋体" w:hAnsi="宋体" w:cs="宋体"/>
                <w:color w:val="000000"/>
                <w:sz w:val="24"/>
                <w:szCs w:val="24"/>
              </w:rPr>
            </w:pPr>
            <w:r>
              <w:rPr>
                <w:rFonts w:ascii="宋体" w:hAnsi="宋体" w:cs="宋体"/>
                <w:color w:val="000000"/>
                <w:sz w:val="24"/>
                <w:szCs w:val="24"/>
              </w:rPr>
              <w:t>0.00</w:t>
            </w:r>
          </w:p>
        </w:tc>
      </w:tr>
      <w:tr w14:paraId="7033E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523DA43">
            <w:pPr>
              <w:widowControl/>
              <w:jc w:val="center"/>
              <w:rPr>
                <w:rFonts w:ascii="宋体" w:hAnsi="宋体" w:cs="宋体"/>
                <w:color w:val="000000"/>
                <w:sz w:val="24"/>
                <w:szCs w:val="24"/>
              </w:rPr>
            </w:pPr>
            <w:r>
              <w:rPr>
                <w:rFonts w:hint="eastAsia" w:ascii="宋体" w:hAnsi="宋体" w:cs="宋体"/>
                <w:color w:val="000000"/>
                <w:sz w:val="24"/>
                <w:szCs w:val="24"/>
              </w:rPr>
              <w:t>9</w:t>
            </w:r>
          </w:p>
        </w:tc>
        <w:tc>
          <w:tcPr>
            <w:tcW w:w="1447" w:type="dxa"/>
            <w:tcBorders>
              <w:top w:val="nil"/>
              <w:left w:val="nil"/>
              <w:bottom w:val="single" w:color="auto" w:sz="4" w:space="0"/>
              <w:right w:val="single" w:color="auto" w:sz="4" w:space="0"/>
            </w:tcBorders>
            <w:shd w:val="clear" w:color="auto" w:fill="auto"/>
            <w:vAlign w:val="center"/>
          </w:tcPr>
          <w:p w14:paraId="0D92A7C0">
            <w:pPr>
              <w:widowControl/>
              <w:rPr>
                <w:rFonts w:ascii="宋体" w:hAnsi="宋体" w:cs="宋体"/>
                <w:color w:val="000000"/>
                <w:sz w:val="24"/>
                <w:szCs w:val="24"/>
              </w:rPr>
            </w:pPr>
            <w:r>
              <w:rPr>
                <w:rFonts w:hint="eastAsia" w:ascii="宋体" w:hAnsi="宋体" w:cs="宋体"/>
                <w:color w:val="000000"/>
                <w:sz w:val="24"/>
                <w:szCs w:val="24"/>
              </w:rPr>
              <w:t>资管</w:t>
            </w:r>
            <w:r>
              <w:rPr>
                <w:rFonts w:ascii="宋体" w:hAnsi="宋体" w:cs="宋体"/>
                <w:color w:val="000000"/>
                <w:sz w:val="24"/>
                <w:szCs w:val="24"/>
              </w:rPr>
              <w:t>产品</w:t>
            </w:r>
          </w:p>
        </w:tc>
        <w:tc>
          <w:tcPr>
            <w:tcW w:w="1697" w:type="dxa"/>
            <w:shd w:val="clear" w:color="auto" w:fill="auto"/>
            <w:vAlign w:val="center"/>
          </w:tcPr>
          <w:p w14:paraId="666742E4">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0789F478">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61C6744A">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052513CB">
            <w:pPr>
              <w:jc w:val="right"/>
              <w:rPr>
                <w:rFonts w:ascii="宋体" w:hAnsi="宋体" w:cs="宋体"/>
                <w:color w:val="000000"/>
                <w:sz w:val="24"/>
                <w:szCs w:val="24"/>
              </w:rPr>
            </w:pPr>
            <w:r>
              <w:rPr>
                <w:rFonts w:ascii="宋体" w:hAnsi="宋体" w:cs="宋体"/>
                <w:color w:val="000000"/>
                <w:sz w:val="24"/>
                <w:szCs w:val="24"/>
              </w:rPr>
              <w:t>0.00</w:t>
            </w:r>
          </w:p>
        </w:tc>
      </w:tr>
      <w:tr w14:paraId="4F1AA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457B8A2">
            <w:pPr>
              <w:widowControl/>
              <w:jc w:val="center"/>
              <w:rPr>
                <w:rFonts w:ascii="宋体" w:hAnsi="宋体" w:cs="宋体"/>
                <w:color w:val="000000"/>
                <w:sz w:val="24"/>
                <w:szCs w:val="24"/>
              </w:rPr>
            </w:pPr>
            <w:r>
              <w:rPr>
                <w:rFonts w:ascii="宋体" w:hAnsi="宋体" w:cs="宋体"/>
                <w:color w:val="000000"/>
                <w:sz w:val="24"/>
                <w:szCs w:val="24"/>
              </w:rPr>
              <w:t>10</w:t>
            </w:r>
          </w:p>
        </w:tc>
        <w:tc>
          <w:tcPr>
            <w:tcW w:w="1447" w:type="dxa"/>
            <w:tcBorders>
              <w:top w:val="nil"/>
              <w:left w:val="nil"/>
              <w:bottom w:val="single" w:color="auto" w:sz="4" w:space="0"/>
              <w:right w:val="single" w:color="auto" w:sz="4" w:space="0"/>
            </w:tcBorders>
            <w:shd w:val="clear" w:color="auto" w:fill="auto"/>
            <w:vAlign w:val="center"/>
          </w:tcPr>
          <w:p w14:paraId="390C2A68">
            <w:pPr>
              <w:widowControl/>
              <w:rPr>
                <w:rFonts w:ascii="宋体" w:hAnsi="宋体" w:cs="宋体"/>
                <w:color w:val="000000"/>
                <w:sz w:val="24"/>
                <w:szCs w:val="24"/>
              </w:rPr>
            </w:pPr>
            <w:r>
              <w:rPr>
                <w:rFonts w:hint="eastAsia" w:ascii="宋体" w:hAnsi="宋体" w:cs="宋体"/>
                <w:color w:val="000000"/>
                <w:sz w:val="24"/>
                <w:szCs w:val="24"/>
              </w:rPr>
              <w:t>其他资产</w:t>
            </w:r>
          </w:p>
        </w:tc>
        <w:tc>
          <w:tcPr>
            <w:tcW w:w="1697" w:type="dxa"/>
            <w:shd w:val="clear" w:color="auto" w:fill="auto"/>
            <w:vAlign w:val="center"/>
          </w:tcPr>
          <w:p w14:paraId="245A86A8">
            <w:pPr>
              <w:jc w:val="right"/>
              <w:rPr>
                <w:rFonts w:ascii="宋体" w:hAnsi="宋体" w:cs="宋体"/>
                <w:color w:val="000000"/>
                <w:sz w:val="24"/>
                <w:szCs w:val="24"/>
              </w:rPr>
            </w:pPr>
            <w:r>
              <w:rPr>
                <w:rFonts w:ascii="宋体" w:hAnsi="宋体" w:cs="宋体"/>
                <w:color w:val="000000"/>
                <w:sz w:val="24"/>
                <w:szCs w:val="24"/>
              </w:rPr>
              <w:t>6,796.89</w:t>
            </w:r>
          </w:p>
        </w:tc>
        <w:tc>
          <w:tcPr>
            <w:tcW w:w="1749" w:type="dxa"/>
            <w:shd w:val="clear" w:color="auto" w:fill="auto"/>
            <w:vAlign w:val="center"/>
          </w:tcPr>
          <w:p w14:paraId="645663B6">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2CE67B62">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70BB448D">
            <w:pPr>
              <w:jc w:val="right"/>
              <w:rPr>
                <w:rFonts w:ascii="宋体" w:hAnsi="宋体" w:cs="宋体"/>
                <w:color w:val="000000"/>
                <w:sz w:val="24"/>
                <w:szCs w:val="24"/>
              </w:rPr>
            </w:pPr>
            <w:r>
              <w:rPr>
                <w:rFonts w:ascii="宋体" w:hAnsi="宋体" w:cs="宋体"/>
                <w:color w:val="000000"/>
                <w:sz w:val="24"/>
                <w:szCs w:val="24"/>
              </w:rPr>
              <w:t>0.00</w:t>
            </w:r>
          </w:p>
        </w:tc>
      </w:tr>
      <w:tr w14:paraId="13FFD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6504422E">
            <w:pPr>
              <w:jc w:val="left"/>
              <w:rPr>
                <w:rFonts w:ascii="宋体" w:hAnsi="宋体" w:cs="宋体"/>
                <w:color w:val="000000"/>
                <w:sz w:val="24"/>
                <w:szCs w:val="24"/>
              </w:rPr>
            </w:pPr>
          </w:p>
        </w:tc>
        <w:tc>
          <w:tcPr>
            <w:tcW w:w="1447" w:type="dxa"/>
            <w:shd w:val="clear" w:color="auto" w:fill="auto"/>
          </w:tcPr>
          <w:p w14:paraId="735C1E3C">
            <w:pPr>
              <w:jc w:val="left"/>
              <w:rPr>
                <w:rFonts w:ascii="宋体" w:hAnsi="宋体" w:cs="宋体"/>
                <w:color w:val="000000"/>
                <w:sz w:val="24"/>
                <w:szCs w:val="24"/>
              </w:rPr>
            </w:pPr>
            <w:r>
              <w:rPr>
                <w:rFonts w:hint="eastAsia" w:ascii="宋体" w:hAnsi="宋体" w:cs="宋体"/>
                <w:color w:val="000000"/>
                <w:sz w:val="24"/>
                <w:szCs w:val="24"/>
              </w:rPr>
              <w:t>合计</w:t>
            </w:r>
          </w:p>
        </w:tc>
        <w:tc>
          <w:tcPr>
            <w:tcW w:w="1697" w:type="dxa"/>
            <w:shd w:val="clear" w:color="auto" w:fill="auto"/>
          </w:tcPr>
          <w:p w14:paraId="3E503762">
            <w:pPr>
              <w:jc w:val="right"/>
              <w:rPr>
                <w:rFonts w:ascii="宋体" w:hAnsi="宋体" w:cs="宋体"/>
                <w:color w:val="000000"/>
                <w:sz w:val="24"/>
                <w:szCs w:val="24"/>
              </w:rPr>
            </w:pPr>
            <w:r>
              <w:rPr>
                <w:rFonts w:ascii="宋体" w:hAnsi="宋体" w:cs="宋体"/>
                <w:color w:val="000000"/>
                <w:sz w:val="24"/>
                <w:szCs w:val="24"/>
              </w:rPr>
              <w:t>3,995,286,829.54</w:t>
            </w:r>
          </w:p>
        </w:tc>
        <w:tc>
          <w:tcPr>
            <w:tcW w:w="1749" w:type="dxa"/>
            <w:shd w:val="clear" w:color="auto" w:fill="auto"/>
          </w:tcPr>
          <w:p w14:paraId="3C261D2F">
            <w:pPr>
              <w:jc w:val="right"/>
              <w:rPr>
                <w:rFonts w:ascii="宋体" w:hAnsi="宋体" w:cs="宋体"/>
                <w:color w:val="000000"/>
                <w:sz w:val="24"/>
                <w:szCs w:val="24"/>
              </w:rPr>
            </w:pPr>
            <w:r>
              <w:rPr>
                <w:rFonts w:ascii="宋体" w:hAnsi="宋体" w:cs="宋体"/>
                <w:color w:val="000000"/>
                <w:sz w:val="24"/>
                <w:szCs w:val="24"/>
              </w:rPr>
              <w:t>100.00</w:t>
            </w:r>
          </w:p>
        </w:tc>
        <w:tc>
          <w:tcPr>
            <w:tcW w:w="1653" w:type="dxa"/>
          </w:tcPr>
          <w:p w14:paraId="72484F9A">
            <w:pPr>
              <w:jc w:val="right"/>
              <w:rPr>
                <w:rFonts w:ascii="宋体" w:hAnsi="宋体" w:cs="宋体"/>
                <w:color w:val="000000"/>
                <w:sz w:val="24"/>
                <w:szCs w:val="24"/>
              </w:rPr>
            </w:pPr>
            <w:r>
              <w:rPr>
                <w:rFonts w:ascii="宋体" w:hAnsi="宋体" w:cs="宋体"/>
                <w:color w:val="000000"/>
                <w:sz w:val="24"/>
                <w:szCs w:val="24"/>
              </w:rPr>
              <w:t>0.00</w:t>
            </w:r>
          </w:p>
        </w:tc>
        <w:tc>
          <w:tcPr>
            <w:tcW w:w="1705" w:type="dxa"/>
          </w:tcPr>
          <w:p w14:paraId="09FCD023">
            <w:pPr>
              <w:jc w:val="right"/>
              <w:rPr>
                <w:rFonts w:ascii="宋体" w:hAnsi="宋体" w:cs="宋体"/>
                <w:color w:val="000000"/>
                <w:sz w:val="24"/>
                <w:szCs w:val="24"/>
              </w:rPr>
            </w:pPr>
            <w:r>
              <w:rPr>
                <w:rFonts w:ascii="宋体" w:hAnsi="宋体" w:cs="宋体"/>
                <w:color w:val="000000"/>
                <w:sz w:val="24"/>
                <w:szCs w:val="24"/>
              </w:rPr>
              <w:t>0.00</w:t>
            </w:r>
          </w:p>
        </w:tc>
      </w:tr>
    </w:tbl>
    <w:p w14:paraId="58C22EA0">
      <w:pPr>
        <w:ind w:left="420" w:leftChars="200"/>
        <w:jc w:val="left"/>
        <w:rPr>
          <w:rFonts w:ascii="宋体" w:hAnsi="宋体"/>
          <w:sz w:val="24"/>
        </w:rPr>
      </w:pPr>
    </w:p>
    <w:p w14:paraId="627D888C">
      <w:pPr>
        <w:spacing w:line="360" w:lineRule="auto"/>
        <w:ind w:right="-107" w:rightChars="-51" w:firstLine="420"/>
        <w:jc w:val="left"/>
        <w:rPr>
          <w:rFonts w:ascii="宋体" w:hAnsi="宋体" w:cs="宋体"/>
          <w:color w:val="000000"/>
          <w:sz w:val="24"/>
          <w:szCs w:val="24"/>
        </w:rPr>
      </w:pPr>
    </w:p>
    <w:p w14:paraId="5F13C4AE">
      <w:pPr>
        <w:ind w:left="420" w:leftChars="200"/>
        <w:jc w:val="left"/>
        <w:rPr>
          <w:rFonts w:asciiTheme="minorEastAsia" w:hAnsiTheme="minorEastAsia" w:eastAsiaTheme="minorEastAsia"/>
          <w:szCs w:val="21"/>
        </w:rPr>
      </w:pPr>
    </w:p>
    <w:p w14:paraId="13F993AA">
      <w:pPr>
        <w:jc w:val="left"/>
        <w:rPr>
          <w:rFonts w:ascii="宋体" w:hAnsi="宋体" w:cs="宋体"/>
          <w:color w:val="000000"/>
          <w:sz w:val="24"/>
          <w:szCs w:val="24"/>
        </w:rPr>
      </w:pPr>
      <w:r>
        <w:rPr>
          <w:rFonts w:hint="eastAsia" w:ascii="宋体" w:hAnsi="宋体" w:cs="宋体"/>
          <w:color w:val="000000"/>
          <w:sz w:val="24"/>
          <w:szCs w:val="24"/>
        </w:rPr>
        <w:t>4.3 报告期末投资前十名资产明细</w:t>
      </w:r>
    </w:p>
    <w:p w14:paraId="6CAF3B0D">
      <w:pPr>
        <w:jc w:val="right"/>
        <w:rPr>
          <w:rFonts w:ascii="宋体" w:hAnsi="宋体" w:cs="宋体"/>
          <w:color w:val="000000"/>
          <w:sz w:val="24"/>
          <w:szCs w:val="24"/>
        </w:rPr>
      </w:pPr>
      <w:r>
        <w:rPr>
          <w:rFonts w:hint="eastAsia" w:ascii="宋体" w:hAnsi="宋体" w:cs="宋体"/>
          <w:color w:val="000000"/>
          <w:sz w:val="24"/>
          <w:szCs w:val="24"/>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0DE2A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44" w:hRule="atLeast"/>
        </w:trPr>
        <w:tc>
          <w:tcPr>
            <w:tcW w:w="777" w:type="dxa"/>
            <w:shd w:val="clear" w:color="auto" w:fill="D9D9D9"/>
            <w:vAlign w:val="center"/>
          </w:tcPr>
          <w:p w14:paraId="2495F9B5">
            <w:pPr>
              <w:jc w:val="center"/>
              <w:rPr>
                <w:rFonts w:ascii="宋体" w:hAnsi="宋体"/>
                <w:b/>
                <w:sz w:val="24"/>
                <w:szCs w:val="24"/>
              </w:rPr>
            </w:pPr>
            <w:r>
              <w:rPr>
                <w:rFonts w:hint="eastAsia" w:ascii="宋体" w:hAnsi="宋体"/>
                <w:b/>
                <w:sz w:val="24"/>
                <w:szCs w:val="24"/>
              </w:rPr>
              <w:t>序号</w:t>
            </w:r>
          </w:p>
        </w:tc>
        <w:tc>
          <w:tcPr>
            <w:tcW w:w="3159" w:type="dxa"/>
            <w:shd w:val="clear" w:color="auto" w:fill="D9D9D9"/>
            <w:vAlign w:val="center"/>
          </w:tcPr>
          <w:p w14:paraId="399E78D3">
            <w:pPr>
              <w:jc w:val="left"/>
              <w:rPr>
                <w:rFonts w:ascii="宋体" w:hAnsi="宋体"/>
                <w:b/>
                <w:sz w:val="24"/>
                <w:szCs w:val="24"/>
              </w:rPr>
            </w:pPr>
            <w:r>
              <w:rPr>
                <w:rFonts w:hint="eastAsia" w:ascii="宋体" w:hAnsi="宋体"/>
                <w:b/>
                <w:sz w:val="24"/>
                <w:szCs w:val="24"/>
              </w:rPr>
              <w:t>资产名称</w:t>
            </w:r>
          </w:p>
        </w:tc>
        <w:tc>
          <w:tcPr>
            <w:tcW w:w="2693" w:type="dxa"/>
            <w:shd w:val="clear" w:color="auto" w:fill="D9D9D9"/>
            <w:vAlign w:val="center"/>
          </w:tcPr>
          <w:p w14:paraId="56ECDA35">
            <w:pPr>
              <w:jc w:val="left"/>
              <w:rPr>
                <w:rFonts w:ascii="宋体" w:hAnsi="宋体"/>
                <w:b/>
                <w:sz w:val="24"/>
                <w:szCs w:val="24"/>
              </w:rPr>
            </w:pPr>
            <w:r>
              <w:rPr>
                <w:rFonts w:hint="eastAsia" w:ascii="宋体" w:hAnsi="宋体"/>
                <w:b/>
                <w:sz w:val="24"/>
                <w:szCs w:val="24"/>
              </w:rPr>
              <w:t>金额</w:t>
            </w:r>
          </w:p>
        </w:tc>
        <w:tc>
          <w:tcPr>
            <w:tcW w:w="2431" w:type="dxa"/>
            <w:shd w:val="clear" w:color="auto" w:fill="D9D9D9"/>
            <w:vAlign w:val="center"/>
          </w:tcPr>
          <w:p w14:paraId="3D7F5129">
            <w:pPr>
              <w:jc w:val="left"/>
              <w:rPr>
                <w:rFonts w:ascii="宋体" w:hAnsi="宋体"/>
                <w:b/>
                <w:sz w:val="24"/>
                <w:szCs w:val="24"/>
              </w:rPr>
            </w:pPr>
            <w:r>
              <w:rPr>
                <w:rFonts w:hint="eastAsia" w:ascii="宋体" w:hAnsi="宋体"/>
                <w:b/>
                <w:sz w:val="24"/>
                <w:szCs w:val="24"/>
              </w:rPr>
              <w:t>占产品资产净值比例（%）</w:t>
            </w:r>
          </w:p>
        </w:tc>
      </w:tr>
      <w:tr w14:paraId="7F319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1E5431EE">
            <w:pPr>
              <w:jc w:val="center"/>
              <w:rPr>
                <w:rFonts w:ascii="宋体" w:hAnsi="宋体" w:cs="宋体"/>
                <w:color w:val="000000"/>
                <w:sz w:val="24"/>
                <w:szCs w:val="24"/>
              </w:rPr>
            </w:pPr>
            <w:r>
              <w:rPr>
                <w:rFonts w:hint="eastAsia" w:ascii="宋体" w:hAnsi="宋体" w:cs="宋体"/>
                <w:color w:val="000000"/>
                <w:sz w:val="24"/>
                <w:szCs w:val="24"/>
              </w:rPr>
              <w:t>1</w:t>
            </w:r>
          </w:p>
        </w:tc>
        <w:tc>
          <w:tcPr>
            <w:tcW w:w="3159" w:type="dxa"/>
            <w:shd w:val="clear" w:color="auto" w:fill="auto"/>
            <w:vAlign w:val="center"/>
          </w:tcPr>
          <w:p w14:paraId="38F2ADB9">
            <w:pPr>
              <w:rPr>
                <w:rFonts w:ascii="宋体" w:hAnsi="宋体" w:cs="宋体"/>
                <w:color w:val="000000"/>
                <w:sz w:val="24"/>
                <w:szCs w:val="24"/>
              </w:rPr>
            </w:pPr>
            <w:r>
              <w:rPr>
                <w:rFonts w:ascii="宋体" w:hAnsi="宋体" w:cs="宋体"/>
                <w:color w:val="000000"/>
                <w:sz w:val="24"/>
                <w:szCs w:val="24"/>
              </w:rPr>
              <w:t>26交通银行CD045</w:t>
            </w:r>
          </w:p>
        </w:tc>
        <w:tc>
          <w:tcPr>
            <w:tcW w:w="2693" w:type="dxa"/>
            <w:shd w:val="clear" w:color="auto" w:fill="auto"/>
            <w:vAlign w:val="center"/>
          </w:tcPr>
          <w:p w14:paraId="130F4508">
            <w:pPr>
              <w:jc w:val="right"/>
              <w:rPr>
                <w:rFonts w:ascii="宋体" w:hAnsi="宋体" w:cs="宋体"/>
                <w:color w:val="000000"/>
                <w:sz w:val="24"/>
                <w:szCs w:val="24"/>
              </w:rPr>
            </w:pPr>
            <w:r>
              <w:rPr>
                <w:rFonts w:ascii="宋体" w:hAnsi="宋体" w:cs="宋体"/>
                <w:color w:val="000000"/>
                <w:sz w:val="24"/>
                <w:szCs w:val="24"/>
              </w:rPr>
              <w:t>99,828,191.28</w:t>
            </w:r>
          </w:p>
        </w:tc>
        <w:tc>
          <w:tcPr>
            <w:tcW w:w="2431" w:type="dxa"/>
            <w:shd w:val="clear" w:color="auto" w:fill="auto"/>
            <w:vAlign w:val="center"/>
          </w:tcPr>
          <w:p w14:paraId="0680F0B2">
            <w:pPr>
              <w:jc w:val="right"/>
              <w:rPr>
                <w:rFonts w:ascii="宋体" w:hAnsi="宋体" w:cs="宋体"/>
                <w:color w:val="000000"/>
                <w:sz w:val="24"/>
                <w:szCs w:val="24"/>
              </w:rPr>
            </w:pPr>
            <w:bookmarkStart w:id="0" w:name="OLE_LINK5"/>
            <w:bookmarkStart w:id="1" w:name="OLE_LINK6"/>
            <w:r>
              <w:rPr>
                <w:rFonts w:ascii="宋体" w:hAnsi="宋体" w:cs="宋体"/>
                <w:color w:val="000000"/>
                <w:sz w:val="24"/>
                <w:szCs w:val="24"/>
              </w:rPr>
              <w:t>2.52</w:t>
            </w:r>
            <w:bookmarkEnd w:id="0"/>
            <w:bookmarkEnd w:id="1"/>
          </w:p>
        </w:tc>
      </w:tr>
      <w:tr w14:paraId="2FFA5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F72D699">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2</w:t>
            </w:r>
          </w:p>
        </w:tc>
        <w:tc>
          <w:tcPr>
            <w:tcW w:w="3159" w:type="dxa"/>
            <w:shd w:val="clear" w:color="auto" w:fill="auto"/>
            <w:vAlign w:val="center"/>
          </w:tcPr>
          <w:p w14:paraId="4C8A6465">
            <w:pPr>
              <w:ind w:hanging="1"/>
              <w:jc w:val="left"/>
              <w:rPr>
                <w:rFonts w:ascii="宋体" w:hAnsi="宋体" w:cs="宋体"/>
                <w:color w:val="000000"/>
                <w:sz w:val="24"/>
                <w:szCs w:val="24"/>
              </w:rPr>
            </w:pPr>
            <w:r>
              <w:rPr>
                <w:rFonts w:ascii="宋体" w:hAnsi="宋体" w:cs="宋体"/>
                <w:b w:val="0"/>
                <w:i w:val="0"/>
                <w:strike w:val="0"/>
                <w:color w:val="000000"/>
                <w:sz w:val="24"/>
                <w:u w:val="none"/>
              </w:rPr>
              <w:t>R001</w:t>
            </w:r>
          </w:p>
        </w:tc>
        <w:tc>
          <w:tcPr>
            <w:tcW w:w="2693" w:type="dxa"/>
            <w:shd w:val="clear" w:color="auto" w:fill="auto"/>
            <w:vAlign w:val="center"/>
          </w:tcPr>
          <w:p w14:paraId="090514D3">
            <w:pPr>
              <w:ind w:hanging="1"/>
              <w:jc w:val="right"/>
              <w:rPr>
                <w:rFonts w:ascii="宋体" w:hAnsi="宋体" w:cs="宋体"/>
                <w:color w:val="000000"/>
                <w:sz w:val="24"/>
                <w:szCs w:val="24"/>
              </w:rPr>
            </w:pPr>
            <w:r>
              <w:rPr>
                <w:rFonts w:ascii="宋体" w:hAnsi="宋体" w:cs="宋体"/>
                <w:b w:val="0"/>
                <w:i w:val="0"/>
                <w:strike w:val="0"/>
                <w:color w:val="000000"/>
                <w:sz w:val="24"/>
                <w:u w:val="none"/>
              </w:rPr>
              <w:t>85,003,726.03</w:t>
            </w:r>
          </w:p>
        </w:tc>
        <w:tc>
          <w:tcPr>
            <w:tcW w:w="2431" w:type="dxa"/>
            <w:shd w:val="clear" w:color="auto" w:fill="auto"/>
            <w:vAlign w:val="center"/>
          </w:tcPr>
          <w:p w14:paraId="079225A6">
            <w:pPr>
              <w:ind w:hanging="1"/>
              <w:jc w:val="right"/>
              <w:rPr>
                <w:rFonts w:ascii="宋体" w:hAnsi="宋体" w:cs="宋体"/>
                <w:color w:val="000000"/>
                <w:sz w:val="24"/>
                <w:szCs w:val="24"/>
              </w:rPr>
            </w:pPr>
            <w:r>
              <w:rPr>
                <w:rFonts w:ascii="宋体" w:hAnsi="宋体" w:cs="宋体"/>
                <w:b w:val="0"/>
                <w:i w:val="0"/>
                <w:strike w:val="0"/>
                <w:color w:val="000000"/>
                <w:sz w:val="24"/>
                <w:u w:val="none"/>
              </w:rPr>
              <w:t>2.14</w:t>
            </w:r>
          </w:p>
        </w:tc>
      </w:tr>
      <w:tr w14:paraId="14C75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8FEC9B1">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3</w:t>
            </w:r>
          </w:p>
        </w:tc>
        <w:tc>
          <w:tcPr>
            <w:tcW w:w="3159" w:type="dxa"/>
            <w:shd w:val="clear" w:color="auto" w:fill="auto"/>
            <w:vAlign w:val="center"/>
          </w:tcPr>
          <w:p w14:paraId="525EAD7B">
            <w:pPr>
              <w:ind w:hanging="1"/>
              <w:jc w:val="left"/>
              <w:rPr>
                <w:rFonts w:ascii="宋体" w:hAnsi="宋体" w:cs="宋体"/>
                <w:color w:val="000000"/>
                <w:sz w:val="24"/>
                <w:szCs w:val="24"/>
              </w:rPr>
            </w:pPr>
            <w:r>
              <w:rPr>
                <w:rFonts w:ascii="宋体" w:hAnsi="宋体" w:cs="宋体"/>
                <w:b w:val="0"/>
                <w:i w:val="0"/>
                <w:strike w:val="0"/>
                <w:color w:val="000000"/>
                <w:sz w:val="24"/>
                <w:u w:val="none"/>
              </w:rPr>
              <w:t>21亦庄国投债02</w:t>
            </w:r>
          </w:p>
        </w:tc>
        <w:tc>
          <w:tcPr>
            <w:tcW w:w="2693" w:type="dxa"/>
            <w:shd w:val="clear" w:color="auto" w:fill="auto"/>
            <w:vAlign w:val="center"/>
          </w:tcPr>
          <w:p w14:paraId="271E7DDE">
            <w:pPr>
              <w:ind w:hanging="1"/>
              <w:jc w:val="right"/>
              <w:rPr>
                <w:rFonts w:ascii="宋体" w:hAnsi="宋体" w:cs="宋体"/>
                <w:color w:val="000000"/>
                <w:sz w:val="24"/>
                <w:szCs w:val="24"/>
              </w:rPr>
            </w:pPr>
            <w:r>
              <w:rPr>
                <w:rFonts w:ascii="宋体" w:hAnsi="宋体" w:cs="宋体"/>
                <w:b w:val="0"/>
                <w:i w:val="0"/>
                <w:strike w:val="0"/>
                <w:color w:val="000000"/>
                <w:sz w:val="24"/>
                <w:u w:val="none"/>
              </w:rPr>
              <w:t>62,149,938.97</w:t>
            </w:r>
          </w:p>
        </w:tc>
        <w:tc>
          <w:tcPr>
            <w:tcW w:w="2431" w:type="dxa"/>
            <w:shd w:val="clear" w:color="auto" w:fill="auto"/>
            <w:vAlign w:val="center"/>
          </w:tcPr>
          <w:p w14:paraId="08376A89">
            <w:pPr>
              <w:ind w:hanging="1"/>
              <w:jc w:val="right"/>
              <w:rPr>
                <w:rFonts w:ascii="宋体" w:hAnsi="宋体" w:cs="宋体"/>
                <w:color w:val="000000"/>
                <w:sz w:val="24"/>
                <w:szCs w:val="24"/>
              </w:rPr>
            </w:pPr>
            <w:r>
              <w:rPr>
                <w:rFonts w:ascii="宋体" w:hAnsi="宋体" w:cs="宋体"/>
                <w:b w:val="0"/>
                <w:i w:val="0"/>
                <w:strike w:val="0"/>
                <w:color w:val="000000"/>
                <w:sz w:val="24"/>
                <w:u w:val="none"/>
              </w:rPr>
              <w:t>1.57</w:t>
            </w:r>
          </w:p>
        </w:tc>
      </w:tr>
      <w:tr w14:paraId="7ADFA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AEB846E">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4</w:t>
            </w:r>
          </w:p>
        </w:tc>
        <w:tc>
          <w:tcPr>
            <w:tcW w:w="3159" w:type="dxa"/>
            <w:shd w:val="clear" w:color="auto" w:fill="auto"/>
            <w:vAlign w:val="center"/>
          </w:tcPr>
          <w:p w14:paraId="72B93969">
            <w:pPr>
              <w:ind w:hanging="1"/>
              <w:jc w:val="left"/>
              <w:rPr>
                <w:rFonts w:ascii="宋体" w:hAnsi="宋体" w:cs="宋体"/>
                <w:color w:val="000000"/>
                <w:sz w:val="24"/>
                <w:szCs w:val="24"/>
              </w:rPr>
            </w:pPr>
            <w:r>
              <w:rPr>
                <w:rFonts w:ascii="宋体" w:hAnsi="宋体" w:cs="宋体"/>
                <w:b w:val="0"/>
                <w:i w:val="0"/>
                <w:strike w:val="0"/>
                <w:color w:val="000000"/>
                <w:sz w:val="24"/>
                <w:u w:val="none"/>
              </w:rPr>
              <w:t>23盐城资产PPN001</w:t>
            </w:r>
          </w:p>
        </w:tc>
        <w:tc>
          <w:tcPr>
            <w:tcW w:w="2693" w:type="dxa"/>
            <w:shd w:val="clear" w:color="auto" w:fill="auto"/>
            <w:vAlign w:val="center"/>
          </w:tcPr>
          <w:p w14:paraId="63883A9D">
            <w:pPr>
              <w:ind w:hanging="1"/>
              <w:jc w:val="right"/>
              <w:rPr>
                <w:rFonts w:ascii="宋体" w:hAnsi="宋体" w:cs="宋体"/>
                <w:color w:val="000000"/>
                <w:sz w:val="24"/>
                <w:szCs w:val="24"/>
              </w:rPr>
            </w:pPr>
            <w:r>
              <w:rPr>
                <w:rFonts w:ascii="宋体" w:hAnsi="宋体" w:cs="宋体"/>
                <w:b w:val="0"/>
                <w:i w:val="0"/>
                <w:strike w:val="0"/>
                <w:color w:val="000000"/>
                <w:sz w:val="24"/>
                <w:u w:val="none"/>
              </w:rPr>
              <w:t>61,963,169.07</w:t>
            </w:r>
          </w:p>
        </w:tc>
        <w:tc>
          <w:tcPr>
            <w:tcW w:w="2431" w:type="dxa"/>
            <w:shd w:val="clear" w:color="auto" w:fill="auto"/>
            <w:vAlign w:val="center"/>
          </w:tcPr>
          <w:p w14:paraId="10577B5D">
            <w:pPr>
              <w:ind w:hanging="1"/>
              <w:jc w:val="right"/>
              <w:rPr>
                <w:rFonts w:ascii="宋体" w:hAnsi="宋体" w:cs="宋体"/>
                <w:color w:val="000000"/>
                <w:sz w:val="24"/>
                <w:szCs w:val="24"/>
              </w:rPr>
            </w:pPr>
            <w:r>
              <w:rPr>
                <w:rFonts w:ascii="宋体" w:hAnsi="宋体" w:cs="宋体"/>
                <w:b w:val="0"/>
                <w:i w:val="0"/>
                <w:strike w:val="0"/>
                <w:color w:val="000000"/>
                <w:sz w:val="24"/>
                <w:u w:val="none"/>
              </w:rPr>
              <w:t>1.56</w:t>
            </w:r>
          </w:p>
        </w:tc>
      </w:tr>
      <w:tr w14:paraId="2ED26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A091CD1">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5</w:t>
            </w:r>
          </w:p>
        </w:tc>
        <w:tc>
          <w:tcPr>
            <w:tcW w:w="3159" w:type="dxa"/>
            <w:shd w:val="clear" w:color="auto" w:fill="auto"/>
            <w:vAlign w:val="center"/>
          </w:tcPr>
          <w:p w14:paraId="4F1745B4">
            <w:pPr>
              <w:ind w:hanging="1"/>
              <w:jc w:val="left"/>
              <w:rPr>
                <w:rFonts w:ascii="宋体" w:hAnsi="宋体" w:cs="宋体"/>
                <w:color w:val="000000"/>
                <w:sz w:val="24"/>
                <w:szCs w:val="24"/>
              </w:rPr>
            </w:pPr>
            <w:r>
              <w:rPr>
                <w:rFonts w:ascii="宋体" w:hAnsi="宋体" w:cs="宋体"/>
                <w:b w:val="0"/>
                <w:i w:val="0"/>
                <w:strike w:val="0"/>
                <w:color w:val="000000"/>
                <w:sz w:val="24"/>
                <w:u w:val="none"/>
              </w:rPr>
              <w:t>23江宁经开PPN002</w:t>
            </w:r>
          </w:p>
        </w:tc>
        <w:tc>
          <w:tcPr>
            <w:tcW w:w="2693" w:type="dxa"/>
            <w:shd w:val="clear" w:color="auto" w:fill="auto"/>
            <w:vAlign w:val="center"/>
          </w:tcPr>
          <w:p w14:paraId="3B3C4D38">
            <w:pPr>
              <w:ind w:hanging="1"/>
              <w:jc w:val="right"/>
              <w:rPr>
                <w:rFonts w:ascii="宋体" w:hAnsi="宋体" w:cs="宋体"/>
                <w:color w:val="000000"/>
                <w:sz w:val="24"/>
                <w:szCs w:val="24"/>
              </w:rPr>
            </w:pPr>
            <w:r>
              <w:rPr>
                <w:rFonts w:ascii="宋体" w:hAnsi="宋体" w:cs="宋体"/>
                <w:b w:val="0"/>
                <w:i w:val="0"/>
                <w:strike w:val="0"/>
                <w:color w:val="000000"/>
                <w:sz w:val="24"/>
                <w:u w:val="none"/>
              </w:rPr>
              <w:t>61,762,580.83</w:t>
            </w:r>
          </w:p>
        </w:tc>
        <w:tc>
          <w:tcPr>
            <w:tcW w:w="2431" w:type="dxa"/>
            <w:shd w:val="clear" w:color="auto" w:fill="auto"/>
            <w:vAlign w:val="center"/>
          </w:tcPr>
          <w:p w14:paraId="6ECE1871">
            <w:pPr>
              <w:ind w:hanging="1"/>
              <w:jc w:val="right"/>
              <w:rPr>
                <w:rFonts w:ascii="宋体" w:hAnsi="宋体" w:cs="宋体"/>
                <w:color w:val="000000"/>
                <w:sz w:val="24"/>
                <w:szCs w:val="24"/>
              </w:rPr>
            </w:pPr>
            <w:r>
              <w:rPr>
                <w:rFonts w:ascii="宋体" w:hAnsi="宋体" w:cs="宋体"/>
                <w:b w:val="0"/>
                <w:i w:val="0"/>
                <w:strike w:val="0"/>
                <w:color w:val="000000"/>
                <w:sz w:val="24"/>
                <w:u w:val="none"/>
              </w:rPr>
              <w:t>1.56</w:t>
            </w:r>
          </w:p>
        </w:tc>
      </w:tr>
      <w:tr w14:paraId="194F7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6CE4CC1">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6</w:t>
            </w:r>
          </w:p>
        </w:tc>
        <w:tc>
          <w:tcPr>
            <w:tcW w:w="3159" w:type="dxa"/>
            <w:shd w:val="clear" w:color="auto" w:fill="auto"/>
            <w:vAlign w:val="center"/>
          </w:tcPr>
          <w:p w14:paraId="492221EF">
            <w:pPr>
              <w:ind w:hanging="1"/>
              <w:jc w:val="left"/>
              <w:rPr>
                <w:rFonts w:ascii="宋体" w:hAnsi="宋体" w:cs="宋体"/>
                <w:color w:val="000000"/>
                <w:sz w:val="24"/>
                <w:szCs w:val="24"/>
              </w:rPr>
            </w:pPr>
            <w:r>
              <w:rPr>
                <w:rFonts w:ascii="宋体" w:hAnsi="宋体" w:cs="宋体"/>
                <w:b w:val="0"/>
                <w:i w:val="0"/>
                <w:strike w:val="0"/>
                <w:color w:val="000000"/>
                <w:sz w:val="24"/>
                <w:u w:val="none"/>
              </w:rPr>
              <w:t>23中原豫资MTN002</w:t>
            </w:r>
          </w:p>
        </w:tc>
        <w:tc>
          <w:tcPr>
            <w:tcW w:w="2693" w:type="dxa"/>
            <w:shd w:val="clear" w:color="auto" w:fill="auto"/>
            <w:vAlign w:val="center"/>
          </w:tcPr>
          <w:p w14:paraId="54EB39D2">
            <w:pPr>
              <w:ind w:hanging="1"/>
              <w:jc w:val="right"/>
              <w:rPr>
                <w:rFonts w:ascii="宋体" w:hAnsi="宋体" w:cs="宋体"/>
                <w:color w:val="000000"/>
                <w:sz w:val="24"/>
                <w:szCs w:val="24"/>
              </w:rPr>
            </w:pPr>
            <w:r>
              <w:rPr>
                <w:rFonts w:ascii="宋体" w:hAnsi="宋体" w:cs="宋体"/>
                <w:b w:val="0"/>
                <w:i w:val="0"/>
                <w:strike w:val="0"/>
                <w:color w:val="000000"/>
                <w:sz w:val="24"/>
                <w:u w:val="none"/>
              </w:rPr>
              <w:t>61,727,704.68</w:t>
            </w:r>
          </w:p>
        </w:tc>
        <w:tc>
          <w:tcPr>
            <w:tcW w:w="2431" w:type="dxa"/>
            <w:shd w:val="clear" w:color="auto" w:fill="auto"/>
            <w:vAlign w:val="center"/>
          </w:tcPr>
          <w:p w14:paraId="140F766A">
            <w:pPr>
              <w:ind w:hanging="1"/>
              <w:jc w:val="right"/>
              <w:rPr>
                <w:rFonts w:ascii="宋体" w:hAnsi="宋体" w:cs="宋体"/>
                <w:color w:val="000000"/>
                <w:sz w:val="24"/>
                <w:szCs w:val="24"/>
              </w:rPr>
            </w:pPr>
            <w:r>
              <w:rPr>
                <w:rFonts w:ascii="宋体" w:hAnsi="宋体" w:cs="宋体"/>
                <w:b w:val="0"/>
                <w:i w:val="0"/>
                <w:strike w:val="0"/>
                <w:color w:val="000000"/>
                <w:sz w:val="24"/>
                <w:u w:val="none"/>
              </w:rPr>
              <w:t>1.56</w:t>
            </w:r>
          </w:p>
        </w:tc>
      </w:tr>
      <w:tr w14:paraId="70D7C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22C9CF2">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7</w:t>
            </w:r>
          </w:p>
        </w:tc>
        <w:tc>
          <w:tcPr>
            <w:tcW w:w="3159" w:type="dxa"/>
            <w:shd w:val="clear" w:color="auto" w:fill="auto"/>
            <w:vAlign w:val="center"/>
          </w:tcPr>
          <w:p w14:paraId="427820FE">
            <w:pPr>
              <w:ind w:hanging="1"/>
              <w:jc w:val="left"/>
              <w:rPr>
                <w:rFonts w:ascii="宋体" w:hAnsi="宋体" w:cs="宋体"/>
                <w:color w:val="000000"/>
                <w:sz w:val="24"/>
                <w:szCs w:val="24"/>
              </w:rPr>
            </w:pPr>
            <w:r>
              <w:rPr>
                <w:rFonts w:ascii="宋体" w:hAnsi="宋体" w:cs="宋体"/>
                <w:b w:val="0"/>
                <w:i w:val="0"/>
                <w:strike w:val="0"/>
                <w:color w:val="000000"/>
                <w:sz w:val="24"/>
                <w:u w:val="none"/>
              </w:rPr>
              <w:t>23蜀道投资MTN006</w:t>
            </w:r>
          </w:p>
        </w:tc>
        <w:tc>
          <w:tcPr>
            <w:tcW w:w="2693" w:type="dxa"/>
            <w:shd w:val="clear" w:color="auto" w:fill="auto"/>
            <w:vAlign w:val="center"/>
          </w:tcPr>
          <w:p w14:paraId="376C8453">
            <w:pPr>
              <w:ind w:hanging="1"/>
              <w:jc w:val="right"/>
              <w:rPr>
                <w:rFonts w:ascii="宋体" w:hAnsi="宋体" w:cs="宋体"/>
                <w:color w:val="000000"/>
                <w:sz w:val="24"/>
                <w:szCs w:val="24"/>
              </w:rPr>
            </w:pPr>
            <w:r>
              <w:rPr>
                <w:rFonts w:ascii="宋体" w:hAnsi="宋体" w:cs="宋体"/>
                <w:b w:val="0"/>
                <w:i w:val="0"/>
                <w:strike w:val="0"/>
                <w:color w:val="000000"/>
                <w:sz w:val="24"/>
                <w:u w:val="none"/>
              </w:rPr>
              <w:t>61,719,593.85</w:t>
            </w:r>
          </w:p>
        </w:tc>
        <w:tc>
          <w:tcPr>
            <w:tcW w:w="2431" w:type="dxa"/>
            <w:shd w:val="clear" w:color="auto" w:fill="auto"/>
            <w:vAlign w:val="center"/>
          </w:tcPr>
          <w:p w14:paraId="5EF842DC">
            <w:pPr>
              <w:ind w:hanging="1"/>
              <w:jc w:val="right"/>
              <w:rPr>
                <w:rFonts w:ascii="宋体" w:hAnsi="宋体" w:cs="宋体"/>
                <w:color w:val="000000"/>
                <w:sz w:val="24"/>
                <w:szCs w:val="24"/>
              </w:rPr>
            </w:pPr>
            <w:r>
              <w:rPr>
                <w:rFonts w:ascii="宋体" w:hAnsi="宋体" w:cs="宋体"/>
                <w:b w:val="0"/>
                <w:i w:val="0"/>
                <w:strike w:val="0"/>
                <w:color w:val="000000"/>
                <w:sz w:val="24"/>
                <w:u w:val="none"/>
              </w:rPr>
              <w:t>1.56</w:t>
            </w:r>
          </w:p>
        </w:tc>
      </w:tr>
      <w:tr w14:paraId="2FCFA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FEC39F8">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8</w:t>
            </w:r>
          </w:p>
        </w:tc>
        <w:tc>
          <w:tcPr>
            <w:tcW w:w="3159" w:type="dxa"/>
            <w:shd w:val="clear" w:color="auto" w:fill="auto"/>
            <w:vAlign w:val="center"/>
          </w:tcPr>
          <w:p w14:paraId="6ADFF30F">
            <w:pPr>
              <w:ind w:hanging="1"/>
              <w:jc w:val="left"/>
              <w:rPr>
                <w:rFonts w:ascii="宋体" w:hAnsi="宋体" w:cs="宋体"/>
                <w:color w:val="000000"/>
                <w:sz w:val="24"/>
                <w:szCs w:val="24"/>
              </w:rPr>
            </w:pPr>
            <w:r>
              <w:rPr>
                <w:rFonts w:ascii="宋体" w:hAnsi="宋体" w:cs="宋体"/>
                <w:b w:val="0"/>
                <w:i w:val="0"/>
                <w:strike w:val="0"/>
                <w:color w:val="000000"/>
                <w:sz w:val="24"/>
                <w:u w:val="none"/>
              </w:rPr>
              <w:t>23国控02</w:t>
            </w:r>
          </w:p>
        </w:tc>
        <w:tc>
          <w:tcPr>
            <w:tcW w:w="2693" w:type="dxa"/>
            <w:shd w:val="clear" w:color="auto" w:fill="auto"/>
            <w:vAlign w:val="center"/>
          </w:tcPr>
          <w:p w14:paraId="1F4F9BCA">
            <w:pPr>
              <w:ind w:hanging="1"/>
              <w:jc w:val="right"/>
              <w:rPr>
                <w:rFonts w:ascii="宋体" w:hAnsi="宋体" w:cs="宋体"/>
                <w:color w:val="000000"/>
                <w:sz w:val="24"/>
                <w:szCs w:val="24"/>
              </w:rPr>
            </w:pPr>
            <w:r>
              <w:rPr>
                <w:rFonts w:ascii="宋体" w:hAnsi="宋体" w:cs="宋体"/>
                <w:b w:val="0"/>
                <w:i w:val="0"/>
                <w:strike w:val="0"/>
                <w:color w:val="000000"/>
                <w:sz w:val="24"/>
                <w:u w:val="none"/>
              </w:rPr>
              <w:t>51,683,750.56</w:t>
            </w:r>
          </w:p>
        </w:tc>
        <w:tc>
          <w:tcPr>
            <w:tcW w:w="2431" w:type="dxa"/>
            <w:shd w:val="clear" w:color="auto" w:fill="auto"/>
            <w:vAlign w:val="center"/>
          </w:tcPr>
          <w:p w14:paraId="7E3A2CD1">
            <w:pPr>
              <w:ind w:hanging="1"/>
              <w:jc w:val="right"/>
              <w:rPr>
                <w:rFonts w:ascii="宋体" w:hAnsi="宋体" w:cs="宋体"/>
                <w:color w:val="000000"/>
                <w:sz w:val="24"/>
                <w:szCs w:val="24"/>
              </w:rPr>
            </w:pPr>
            <w:r>
              <w:rPr>
                <w:rFonts w:ascii="宋体" w:hAnsi="宋体" w:cs="宋体"/>
                <w:b w:val="0"/>
                <w:i w:val="0"/>
                <w:strike w:val="0"/>
                <w:color w:val="000000"/>
                <w:sz w:val="24"/>
                <w:u w:val="none"/>
              </w:rPr>
              <w:t>1.30</w:t>
            </w:r>
          </w:p>
        </w:tc>
      </w:tr>
      <w:tr w14:paraId="17A0F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2EBBE1D">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9</w:t>
            </w:r>
          </w:p>
        </w:tc>
        <w:tc>
          <w:tcPr>
            <w:tcW w:w="3159" w:type="dxa"/>
            <w:shd w:val="clear" w:color="auto" w:fill="auto"/>
            <w:vAlign w:val="center"/>
          </w:tcPr>
          <w:p w14:paraId="17D0909F">
            <w:pPr>
              <w:ind w:hanging="1"/>
              <w:jc w:val="left"/>
              <w:rPr>
                <w:rFonts w:ascii="宋体" w:hAnsi="宋体" w:cs="宋体"/>
                <w:color w:val="000000"/>
                <w:sz w:val="24"/>
                <w:szCs w:val="24"/>
              </w:rPr>
            </w:pPr>
            <w:r>
              <w:rPr>
                <w:rFonts w:ascii="宋体" w:hAnsi="宋体" w:cs="宋体"/>
                <w:b w:val="0"/>
                <w:i w:val="0"/>
                <w:strike w:val="0"/>
                <w:color w:val="000000"/>
                <w:sz w:val="24"/>
                <w:u w:val="none"/>
              </w:rPr>
              <w:t>23南昌交投MTN003</w:t>
            </w:r>
          </w:p>
        </w:tc>
        <w:tc>
          <w:tcPr>
            <w:tcW w:w="2693" w:type="dxa"/>
            <w:shd w:val="clear" w:color="auto" w:fill="auto"/>
            <w:vAlign w:val="center"/>
          </w:tcPr>
          <w:p w14:paraId="1D31336E">
            <w:pPr>
              <w:ind w:hanging="1"/>
              <w:jc w:val="right"/>
              <w:rPr>
                <w:rFonts w:ascii="宋体" w:hAnsi="宋体" w:cs="宋体"/>
                <w:color w:val="000000"/>
                <w:sz w:val="24"/>
                <w:szCs w:val="24"/>
              </w:rPr>
            </w:pPr>
            <w:r>
              <w:rPr>
                <w:rFonts w:ascii="宋体" w:hAnsi="宋体" w:cs="宋体"/>
                <w:b w:val="0"/>
                <w:i w:val="0"/>
                <w:strike w:val="0"/>
                <w:color w:val="000000"/>
                <w:sz w:val="24"/>
                <w:u w:val="none"/>
              </w:rPr>
              <w:t>51,435,292.05</w:t>
            </w:r>
          </w:p>
        </w:tc>
        <w:tc>
          <w:tcPr>
            <w:tcW w:w="2431" w:type="dxa"/>
            <w:shd w:val="clear" w:color="auto" w:fill="auto"/>
            <w:vAlign w:val="center"/>
          </w:tcPr>
          <w:p w14:paraId="7998FC0A">
            <w:pPr>
              <w:ind w:hanging="1"/>
              <w:jc w:val="right"/>
              <w:rPr>
                <w:rFonts w:ascii="宋体" w:hAnsi="宋体" w:cs="宋体"/>
                <w:color w:val="000000"/>
                <w:sz w:val="24"/>
                <w:szCs w:val="24"/>
              </w:rPr>
            </w:pPr>
            <w:r>
              <w:rPr>
                <w:rFonts w:ascii="宋体" w:hAnsi="宋体" w:cs="宋体"/>
                <w:b w:val="0"/>
                <w:i w:val="0"/>
                <w:strike w:val="0"/>
                <w:color w:val="000000"/>
                <w:sz w:val="24"/>
                <w:u w:val="none"/>
              </w:rPr>
              <w:t>1.30</w:t>
            </w:r>
          </w:p>
        </w:tc>
      </w:tr>
      <w:tr w14:paraId="3000F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52F078E">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10</w:t>
            </w:r>
          </w:p>
        </w:tc>
        <w:tc>
          <w:tcPr>
            <w:tcW w:w="3159" w:type="dxa"/>
            <w:shd w:val="clear" w:color="auto" w:fill="auto"/>
            <w:vAlign w:val="center"/>
          </w:tcPr>
          <w:p w14:paraId="6C98B82A">
            <w:pPr>
              <w:ind w:hanging="1"/>
              <w:jc w:val="left"/>
              <w:rPr>
                <w:rFonts w:ascii="宋体" w:hAnsi="宋体" w:cs="宋体"/>
                <w:color w:val="000000"/>
                <w:sz w:val="24"/>
                <w:szCs w:val="24"/>
              </w:rPr>
            </w:pPr>
            <w:r>
              <w:rPr>
                <w:rFonts w:ascii="宋体" w:hAnsi="宋体" w:cs="宋体"/>
                <w:b w:val="0"/>
                <w:i w:val="0"/>
                <w:strike w:val="0"/>
                <w:color w:val="000000"/>
                <w:sz w:val="24"/>
                <w:u w:val="none"/>
              </w:rPr>
              <w:t>23山交02</w:t>
            </w:r>
          </w:p>
        </w:tc>
        <w:tc>
          <w:tcPr>
            <w:tcW w:w="2693" w:type="dxa"/>
            <w:shd w:val="clear" w:color="auto" w:fill="auto"/>
            <w:vAlign w:val="center"/>
          </w:tcPr>
          <w:p w14:paraId="697C1EEB">
            <w:pPr>
              <w:ind w:hanging="1"/>
              <w:jc w:val="right"/>
              <w:rPr>
                <w:rFonts w:ascii="宋体" w:hAnsi="宋体" w:cs="宋体"/>
                <w:color w:val="000000"/>
                <w:sz w:val="24"/>
                <w:szCs w:val="24"/>
              </w:rPr>
            </w:pPr>
            <w:r>
              <w:rPr>
                <w:rFonts w:ascii="宋体" w:hAnsi="宋体" w:cs="宋体"/>
                <w:b w:val="0"/>
                <w:i w:val="0"/>
                <w:strike w:val="0"/>
                <w:color w:val="000000"/>
                <w:sz w:val="24"/>
                <w:u w:val="none"/>
              </w:rPr>
              <w:t>51,305,217.77</w:t>
            </w:r>
          </w:p>
        </w:tc>
        <w:tc>
          <w:tcPr>
            <w:tcW w:w="2431" w:type="dxa"/>
            <w:shd w:val="clear" w:color="auto" w:fill="auto"/>
            <w:vAlign w:val="center"/>
          </w:tcPr>
          <w:p w14:paraId="0FFCE708">
            <w:pPr>
              <w:ind w:hanging="1"/>
              <w:jc w:val="right"/>
              <w:rPr>
                <w:rFonts w:ascii="宋体" w:hAnsi="宋体" w:cs="宋体"/>
                <w:color w:val="000000"/>
                <w:sz w:val="24"/>
                <w:szCs w:val="24"/>
              </w:rPr>
            </w:pPr>
            <w:r>
              <w:rPr>
                <w:rFonts w:ascii="宋体" w:hAnsi="宋体" w:cs="宋体"/>
                <w:b w:val="0"/>
                <w:i w:val="0"/>
                <w:strike w:val="0"/>
                <w:color w:val="000000"/>
                <w:sz w:val="24"/>
                <w:u w:val="none"/>
              </w:rPr>
              <w:t>1.29</w:t>
            </w:r>
          </w:p>
        </w:tc>
      </w:tr>
    </w:tbl>
    <w:p w14:paraId="582F80BA">
      <w:pPr>
        <w:rPr>
          <w:rFonts w:ascii="宋体" w:hAnsi="宋体"/>
          <w:sz w:val="24"/>
        </w:rPr>
      </w:pPr>
      <w:r>
        <w:rPr>
          <w:rFonts w:hint="eastAsia" w:ascii="宋体" w:hAnsi="宋体"/>
          <w:sz w:val="24"/>
        </w:rPr>
        <w:t xml:space="preserve"> </w:t>
      </w:r>
    </w:p>
    <w:p w14:paraId="16B59034">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注：前十项资产明细仅包含证券投资、场外投资，不包含银行存款、存出保证金、清算备付金等资产。</w:t>
      </w:r>
    </w:p>
    <w:p w14:paraId="283B1C37">
      <w:pPr>
        <w:jc w:val="left"/>
        <w:rPr>
          <w:rFonts w:asciiTheme="minorEastAsia" w:hAnsiTheme="minorEastAsia" w:eastAsiaTheme="minorEastAsia"/>
          <w:sz w:val="24"/>
          <w:szCs w:val="24"/>
        </w:rPr>
      </w:pPr>
    </w:p>
    <w:p w14:paraId="51D890A1">
      <w:pPr>
        <w:ind w:left="4" w:leftChars="2"/>
        <w:jc w:val="left"/>
        <w:rPr>
          <w:rFonts w:ascii="宋体" w:hAnsi="宋体"/>
          <w:sz w:val="24"/>
          <w:szCs w:val="24"/>
        </w:rPr>
      </w:pPr>
      <w:r>
        <w:rPr>
          <w:rFonts w:hint="eastAsia" w:ascii="宋体" w:hAnsi="宋体"/>
          <w:sz w:val="24"/>
          <w:szCs w:val="24"/>
        </w:rPr>
        <w:t>4.4 报告期末投资非标准化债权资产情况</w:t>
      </w:r>
    </w:p>
    <w:tbl>
      <w:tblPr>
        <w:tblStyle w:val="17"/>
        <w:tblW w:w="90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992"/>
        <w:gridCol w:w="993"/>
        <w:gridCol w:w="1291"/>
        <w:gridCol w:w="1350"/>
        <w:gridCol w:w="2133"/>
        <w:gridCol w:w="1567"/>
      </w:tblGrid>
      <w:tr w14:paraId="4C9BC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704" w:type="dxa"/>
            <w:shd w:val="clear" w:color="auto" w:fill="D9D9D9"/>
            <w:vAlign w:val="center"/>
          </w:tcPr>
          <w:p w14:paraId="1BF57045">
            <w:pPr>
              <w:rPr>
                <w:rFonts w:ascii="宋体" w:hAnsi="宋体"/>
                <w:b/>
                <w:sz w:val="24"/>
                <w:szCs w:val="24"/>
              </w:rPr>
            </w:pPr>
            <w:r>
              <w:rPr>
                <w:rFonts w:hint="eastAsia" w:ascii="宋体" w:hAnsi="宋体"/>
                <w:b/>
                <w:sz w:val="24"/>
                <w:szCs w:val="24"/>
              </w:rPr>
              <w:t>序号</w:t>
            </w:r>
          </w:p>
        </w:tc>
        <w:tc>
          <w:tcPr>
            <w:tcW w:w="992" w:type="dxa"/>
            <w:shd w:val="clear" w:color="auto" w:fill="D9D9D9"/>
            <w:vAlign w:val="center"/>
          </w:tcPr>
          <w:p w14:paraId="0A9FE945">
            <w:pPr>
              <w:jc w:val="left"/>
              <w:rPr>
                <w:rFonts w:ascii="宋体" w:hAnsi="宋体"/>
                <w:b/>
                <w:sz w:val="24"/>
                <w:szCs w:val="24"/>
              </w:rPr>
            </w:pPr>
            <w:r>
              <w:rPr>
                <w:rFonts w:hint="eastAsia" w:ascii="宋体" w:hAnsi="宋体"/>
                <w:b/>
                <w:sz w:val="24"/>
                <w:szCs w:val="24"/>
              </w:rPr>
              <w:t>项目名称</w:t>
            </w:r>
          </w:p>
        </w:tc>
        <w:tc>
          <w:tcPr>
            <w:tcW w:w="993" w:type="dxa"/>
            <w:shd w:val="clear" w:color="auto" w:fill="D9D9D9"/>
            <w:vAlign w:val="center"/>
          </w:tcPr>
          <w:p w14:paraId="34785525">
            <w:pPr>
              <w:jc w:val="left"/>
              <w:rPr>
                <w:rFonts w:ascii="宋体" w:hAnsi="宋体"/>
                <w:b/>
                <w:sz w:val="24"/>
                <w:szCs w:val="24"/>
              </w:rPr>
            </w:pPr>
            <w:r>
              <w:rPr>
                <w:rFonts w:hint="eastAsia" w:ascii="宋体" w:hAnsi="宋体"/>
                <w:b/>
                <w:sz w:val="24"/>
                <w:szCs w:val="24"/>
              </w:rPr>
              <w:t>融资客户</w:t>
            </w:r>
          </w:p>
        </w:tc>
        <w:tc>
          <w:tcPr>
            <w:tcW w:w="1291" w:type="dxa"/>
            <w:shd w:val="clear" w:color="auto" w:fill="D9D9D9"/>
            <w:vAlign w:val="center"/>
          </w:tcPr>
          <w:p w14:paraId="1FC0EE09">
            <w:pPr>
              <w:jc w:val="left"/>
              <w:rPr>
                <w:rFonts w:ascii="宋体" w:hAnsi="宋体"/>
                <w:b/>
                <w:sz w:val="24"/>
                <w:szCs w:val="24"/>
              </w:rPr>
            </w:pPr>
            <w:r>
              <w:rPr>
                <w:rFonts w:hint="eastAsia" w:ascii="宋体" w:hAnsi="宋体"/>
                <w:b/>
                <w:sz w:val="24"/>
                <w:szCs w:val="24"/>
              </w:rPr>
              <w:t>剩余融资期限（天）</w:t>
            </w:r>
          </w:p>
        </w:tc>
        <w:tc>
          <w:tcPr>
            <w:tcW w:w="1350" w:type="dxa"/>
            <w:shd w:val="clear" w:color="auto" w:fill="D9D9D9"/>
            <w:vAlign w:val="center"/>
          </w:tcPr>
          <w:p w14:paraId="66920EA5">
            <w:pPr>
              <w:jc w:val="left"/>
              <w:rPr>
                <w:rFonts w:ascii="宋体" w:hAnsi="宋体"/>
                <w:b/>
                <w:sz w:val="24"/>
                <w:szCs w:val="24"/>
              </w:rPr>
            </w:pPr>
            <w:r>
              <w:rPr>
                <w:rFonts w:hint="eastAsia" w:ascii="宋体" w:hAnsi="宋体"/>
                <w:b/>
                <w:sz w:val="24"/>
                <w:szCs w:val="24"/>
              </w:rPr>
              <w:t>到期收益分配</w:t>
            </w:r>
          </w:p>
        </w:tc>
        <w:tc>
          <w:tcPr>
            <w:tcW w:w="2133" w:type="dxa"/>
            <w:shd w:val="clear" w:color="auto" w:fill="D9D9D9"/>
            <w:vAlign w:val="center"/>
          </w:tcPr>
          <w:p w14:paraId="4CA8A305">
            <w:pPr>
              <w:jc w:val="left"/>
              <w:rPr>
                <w:rFonts w:ascii="宋体" w:hAnsi="宋体"/>
                <w:b/>
                <w:sz w:val="24"/>
                <w:szCs w:val="24"/>
              </w:rPr>
            </w:pPr>
            <w:r>
              <w:rPr>
                <w:rFonts w:hint="eastAsia" w:ascii="宋体" w:hAnsi="宋体"/>
                <w:b/>
                <w:sz w:val="24"/>
                <w:szCs w:val="24"/>
              </w:rPr>
              <w:t>交易结构</w:t>
            </w:r>
          </w:p>
        </w:tc>
        <w:tc>
          <w:tcPr>
            <w:tcW w:w="1567" w:type="dxa"/>
            <w:shd w:val="clear" w:color="auto" w:fill="D9D9D9"/>
            <w:vAlign w:val="center"/>
          </w:tcPr>
          <w:p w14:paraId="138221BD">
            <w:pPr>
              <w:jc w:val="left"/>
              <w:rPr>
                <w:rFonts w:ascii="宋体" w:hAnsi="宋体"/>
                <w:b/>
                <w:sz w:val="24"/>
                <w:szCs w:val="24"/>
              </w:rPr>
            </w:pPr>
            <w:r>
              <w:rPr>
                <w:rFonts w:hint="eastAsia" w:ascii="宋体" w:hAnsi="宋体"/>
                <w:b/>
                <w:sz w:val="24"/>
                <w:szCs w:val="24"/>
              </w:rPr>
              <w:t>风险状况</w:t>
            </w:r>
          </w:p>
        </w:tc>
      </w:tr>
      <w:tr w14:paraId="721F5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704" w:type="dxa"/>
            <w:shd w:val="clear" w:color="auto" w:fill="auto"/>
            <w:vAlign w:val="center"/>
          </w:tcPr>
          <w:p w14:paraId="3E0B6013">
            <w:pPr>
              <w:jc w:val="center"/>
              <w:rPr>
                <w:rFonts w:ascii="宋体" w:hAnsi="宋体" w:cs="宋体"/>
                <w:color w:val="000000"/>
                <w:sz w:val="24"/>
                <w:szCs w:val="24"/>
              </w:rPr>
            </w:pPr>
          </w:p>
        </w:tc>
        <w:tc>
          <w:tcPr>
            <w:tcW w:w="992" w:type="dxa"/>
            <w:shd w:val="clear" w:color="auto" w:fill="auto"/>
            <w:vAlign w:val="center"/>
          </w:tcPr>
          <w:p w14:paraId="7FEF4848">
            <w:pPr>
              <w:rPr>
                <w:rFonts w:ascii="宋体" w:hAnsi="宋体" w:cs="宋体"/>
                <w:color w:val="000000"/>
                <w:sz w:val="24"/>
                <w:szCs w:val="24"/>
              </w:rPr>
            </w:pPr>
          </w:p>
        </w:tc>
        <w:tc>
          <w:tcPr>
            <w:tcW w:w="993" w:type="dxa"/>
            <w:shd w:val="clear" w:color="auto" w:fill="auto"/>
            <w:vAlign w:val="center"/>
          </w:tcPr>
          <w:p w14:paraId="4BB9FEA1">
            <w:pPr>
              <w:jc w:val="left"/>
              <w:rPr>
                <w:rFonts w:ascii="宋体" w:hAnsi="宋体" w:cs="宋体"/>
                <w:color w:val="000000"/>
                <w:sz w:val="24"/>
                <w:szCs w:val="24"/>
              </w:rPr>
            </w:pPr>
          </w:p>
        </w:tc>
        <w:tc>
          <w:tcPr>
            <w:tcW w:w="1291" w:type="dxa"/>
            <w:shd w:val="clear" w:color="auto" w:fill="auto"/>
            <w:vAlign w:val="center"/>
          </w:tcPr>
          <w:p w14:paraId="3D23C504">
            <w:pPr>
              <w:jc w:val="right"/>
              <w:rPr>
                <w:rFonts w:ascii="宋体" w:hAnsi="宋体" w:cs="宋体"/>
                <w:color w:val="000000"/>
                <w:sz w:val="24"/>
                <w:szCs w:val="24"/>
              </w:rPr>
            </w:pPr>
          </w:p>
        </w:tc>
        <w:tc>
          <w:tcPr>
            <w:tcW w:w="1350" w:type="dxa"/>
            <w:vAlign w:val="center"/>
          </w:tcPr>
          <w:p w14:paraId="0E9A86B3">
            <w:pPr>
              <w:jc w:val="right"/>
              <w:rPr>
                <w:rFonts w:ascii="宋体" w:hAnsi="宋体" w:cs="宋体"/>
                <w:color w:val="000000"/>
                <w:sz w:val="24"/>
                <w:szCs w:val="24"/>
              </w:rPr>
            </w:pPr>
          </w:p>
        </w:tc>
        <w:tc>
          <w:tcPr>
            <w:tcW w:w="2133" w:type="dxa"/>
            <w:vAlign w:val="center"/>
          </w:tcPr>
          <w:p w14:paraId="7C539B36">
            <w:pPr>
              <w:jc w:val="left"/>
              <w:rPr>
                <w:rFonts w:ascii="宋体" w:hAnsi="宋体"/>
                <w:sz w:val="24"/>
                <w:szCs w:val="24"/>
              </w:rPr>
            </w:pPr>
          </w:p>
        </w:tc>
        <w:tc>
          <w:tcPr>
            <w:tcW w:w="1567" w:type="dxa"/>
            <w:vAlign w:val="center"/>
          </w:tcPr>
          <w:p w14:paraId="1C6C4519">
            <w:pPr>
              <w:jc w:val="left"/>
              <w:rPr>
                <w:rFonts w:ascii="宋体" w:hAnsi="宋体"/>
                <w:sz w:val="24"/>
                <w:szCs w:val="24"/>
              </w:rPr>
            </w:pPr>
          </w:p>
        </w:tc>
      </w:tr>
    </w:tbl>
    <w:p w14:paraId="034C0552">
      <w:pPr>
        <w:ind w:left="4" w:leftChars="2"/>
        <w:jc w:val="left"/>
        <w:rPr>
          <w:rFonts w:asciiTheme="minorEastAsia" w:hAnsiTheme="minorEastAsia" w:eastAsiaTheme="minorEastAsia"/>
          <w:szCs w:val="21"/>
        </w:rPr>
      </w:pPr>
    </w:p>
    <w:p w14:paraId="13F06FA0">
      <w:pPr>
        <w:ind w:left="4" w:leftChars="2"/>
        <w:jc w:val="left"/>
        <w:rPr>
          <w:rFonts w:ascii="宋体" w:hAnsi="宋体"/>
          <w:sz w:val="24"/>
          <w:szCs w:val="24"/>
        </w:rPr>
      </w:pPr>
      <w:r>
        <w:rPr>
          <w:rFonts w:hint="eastAsia" w:ascii="宋体" w:hAnsi="宋体" w:cs="宋体"/>
          <w:color w:val="000000"/>
          <w:sz w:val="24"/>
          <w:szCs w:val="24"/>
        </w:rPr>
        <w:t>4.5 产品份额变动</w:t>
      </w:r>
    </w:p>
    <w:p w14:paraId="157F4D59">
      <w:pPr>
        <w:ind w:left="4" w:leftChars="2"/>
        <w:jc w:val="right"/>
        <w:rPr>
          <w:rFonts w:asciiTheme="minorEastAsia" w:hAnsiTheme="minorEastAsia" w:eastAsiaTheme="minorEastAsia"/>
          <w:szCs w:val="21"/>
        </w:rPr>
      </w:pPr>
      <w:r>
        <w:rPr>
          <w:rFonts w:hint="eastAsia" w:ascii="宋体" w:hAnsi="宋体" w:cs="宋体"/>
          <w:color w:val="000000"/>
          <w:sz w:val="24"/>
          <w:szCs w:val="24"/>
        </w:rPr>
        <w:t>单位：份</w:t>
      </w:r>
    </w:p>
    <w:tbl>
      <w:tblPr>
        <w:tblStyle w:val="17"/>
        <w:tblW w:w="8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6008"/>
      </w:tblGrid>
      <w:tr w14:paraId="562B7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tcMar>
              <w:top w:w="0" w:type="dxa"/>
              <w:left w:w="118" w:type="dxa"/>
              <w:bottom w:w="10" w:type="dxa"/>
              <w:right w:w="118" w:type="dxa"/>
            </w:tcMar>
          </w:tcPr>
          <w:p w14:paraId="6132D695">
            <w:pPr>
              <w:rPr>
                <w:rFonts w:ascii="宋体" w:hAnsi="宋体" w:cs="宋体"/>
                <w:color w:val="000000"/>
                <w:sz w:val="24"/>
                <w:szCs w:val="24"/>
              </w:rPr>
            </w:pPr>
            <w:r>
              <w:rPr>
                <w:rFonts w:ascii="宋体" w:hAnsi="宋体" w:cs="宋体"/>
                <w:color w:val="000000"/>
                <w:sz w:val="24"/>
                <w:szCs w:val="24"/>
              </w:rPr>
              <w:t>报告期期初产品份额总额</w:t>
            </w:r>
          </w:p>
        </w:tc>
        <w:tc>
          <w:tcPr>
            <w:tcW w:w="6008" w:type="dxa"/>
            <w:tcMar>
              <w:top w:w="0" w:type="dxa"/>
              <w:left w:w="108" w:type="dxa"/>
              <w:bottom w:w="10" w:type="dxa"/>
              <w:right w:w="118" w:type="dxa"/>
            </w:tcMar>
          </w:tcPr>
          <w:p w14:paraId="672534AF">
            <w:pPr>
              <w:jc w:val="right"/>
              <w:rPr>
                <w:rFonts w:ascii="宋体" w:hAnsi="宋体" w:cs="宋体"/>
                <w:color w:val="000000"/>
                <w:sz w:val="24"/>
                <w:szCs w:val="24"/>
              </w:rPr>
            </w:pPr>
            <w:r>
              <w:rPr>
                <w:rFonts w:ascii="宋体" w:hAnsi="宋体" w:cs="宋体"/>
                <w:color w:val="000000"/>
                <w:sz w:val="24"/>
                <w:szCs w:val="24"/>
              </w:rPr>
              <w:t>4,766,139,997.43</w:t>
            </w:r>
          </w:p>
        </w:tc>
      </w:tr>
      <w:tr w14:paraId="6DE59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shd w:val="clear" w:color="auto" w:fill="auto"/>
          </w:tcPr>
          <w:p w14:paraId="3AE07D27">
            <w:pPr>
              <w:ind w:hanging="1"/>
              <w:jc w:val="left"/>
              <w:rPr>
                <w:rFonts w:ascii="宋体" w:hAnsi="宋体" w:cs="宋体"/>
                <w:color w:val="000000"/>
                <w:sz w:val="24"/>
                <w:szCs w:val="24"/>
              </w:rPr>
            </w:pPr>
            <w:r>
              <w:rPr>
                <w:rFonts w:ascii="宋体" w:hAnsi="宋体" w:cs="宋体"/>
                <w:b w:val="0"/>
                <w:i w:val="0"/>
                <w:strike w:val="0"/>
                <w:color w:val="000000"/>
                <w:sz w:val="24"/>
                <w:u w:val="none"/>
              </w:rPr>
              <w:t>T2109A</w:t>
            </w:r>
          </w:p>
        </w:tc>
        <w:tc>
          <w:tcPr>
            <w:tcW w:w="6008" w:type="dxa"/>
            <w:shd w:val="clear" w:color="auto" w:fill="auto"/>
          </w:tcPr>
          <w:p w14:paraId="2B003E0A">
            <w:pPr>
              <w:ind w:hanging="1"/>
              <w:jc w:val="right"/>
              <w:rPr>
                <w:rFonts w:ascii="宋体" w:hAnsi="宋体" w:cs="宋体"/>
                <w:color w:val="000000"/>
                <w:sz w:val="24"/>
                <w:szCs w:val="24"/>
              </w:rPr>
            </w:pPr>
            <w:r>
              <w:rPr>
                <w:rFonts w:ascii="宋体" w:hAnsi="宋体" w:cs="宋体"/>
                <w:b w:val="0"/>
                <w:i w:val="0"/>
                <w:strike w:val="0"/>
                <w:color w:val="000000"/>
                <w:sz w:val="24"/>
                <w:u w:val="none"/>
              </w:rPr>
              <w:t>3,933,260,761.26</w:t>
            </w:r>
          </w:p>
        </w:tc>
      </w:tr>
      <w:tr w14:paraId="58AF3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shd w:val="clear" w:color="auto" w:fill="auto"/>
          </w:tcPr>
          <w:p w14:paraId="0932741F">
            <w:pPr>
              <w:ind w:hanging="1"/>
              <w:jc w:val="left"/>
              <w:rPr>
                <w:rFonts w:ascii="宋体" w:hAnsi="宋体" w:cs="宋体"/>
                <w:color w:val="000000"/>
                <w:sz w:val="24"/>
                <w:szCs w:val="24"/>
              </w:rPr>
            </w:pPr>
            <w:r>
              <w:rPr>
                <w:rFonts w:ascii="宋体" w:hAnsi="宋体" w:cs="宋体"/>
                <w:b w:val="0"/>
                <w:i w:val="0"/>
                <w:strike w:val="0"/>
                <w:color w:val="000000"/>
                <w:sz w:val="24"/>
                <w:u w:val="none"/>
              </w:rPr>
              <w:t>T2109C</w:t>
            </w:r>
          </w:p>
        </w:tc>
        <w:tc>
          <w:tcPr>
            <w:tcW w:w="6008" w:type="dxa"/>
            <w:shd w:val="clear" w:color="auto" w:fill="auto"/>
          </w:tcPr>
          <w:p w14:paraId="22E447EF">
            <w:pPr>
              <w:ind w:hanging="1"/>
              <w:jc w:val="right"/>
              <w:rPr>
                <w:rFonts w:ascii="宋体" w:hAnsi="宋体" w:cs="宋体"/>
                <w:color w:val="000000"/>
                <w:sz w:val="24"/>
                <w:szCs w:val="24"/>
              </w:rPr>
            </w:pPr>
            <w:r>
              <w:rPr>
                <w:rFonts w:ascii="宋体" w:hAnsi="宋体" w:cs="宋体"/>
                <w:b w:val="0"/>
                <w:i w:val="0"/>
                <w:strike w:val="0"/>
                <w:color w:val="000000"/>
                <w:sz w:val="24"/>
                <w:u w:val="none"/>
              </w:rPr>
              <w:t>832,879,236.17</w:t>
            </w:r>
          </w:p>
        </w:tc>
      </w:tr>
      <w:tr w14:paraId="47A01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tcMar>
              <w:top w:w="0" w:type="dxa"/>
              <w:left w:w="118" w:type="dxa"/>
              <w:bottom w:w="10" w:type="dxa"/>
              <w:right w:w="118" w:type="dxa"/>
            </w:tcMar>
          </w:tcPr>
          <w:p w14:paraId="3867B267">
            <w:pPr>
              <w:rPr>
                <w:rFonts w:ascii="宋体" w:hAnsi="宋体" w:cs="宋体"/>
                <w:color w:val="000000"/>
                <w:sz w:val="24"/>
                <w:szCs w:val="24"/>
              </w:rPr>
            </w:pPr>
            <w:r>
              <w:rPr>
                <w:rFonts w:ascii="宋体" w:hAnsi="宋体" w:cs="宋体"/>
                <w:color w:val="000000"/>
                <w:sz w:val="24"/>
                <w:szCs w:val="24"/>
              </w:rPr>
              <w:t>报告期期间产品总申购份额</w:t>
            </w:r>
          </w:p>
        </w:tc>
        <w:tc>
          <w:tcPr>
            <w:tcW w:w="6008" w:type="dxa"/>
            <w:tcMar>
              <w:top w:w="0" w:type="dxa"/>
              <w:left w:w="108" w:type="dxa"/>
              <w:bottom w:w="10" w:type="dxa"/>
              <w:right w:w="118" w:type="dxa"/>
            </w:tcMar>
          </w:tcPr>
          <w:p w14:paraId="773F4C05">
            <w:pPr>
              <w:jc w:val="right"/>
              <w:rPr>
                <w:rFonts w:ascii="宋体" w:hAnsi="宋体" w:cs="宋体"/>
                <w:color w:val="000000"/>
                <w:sz w:val="24"/>
                <w:szCs w:val="24"/>
              </w:rPr>
            </w:pPr>
            <w:r>
              <w:rPr>
                <w:rFonts w:ascii="宋体" w:hAnsi="宋体" w:cs="宋体"/>
                <w:color w:val="000000"/>
                <w:sz w:val="24"/>
                <w:szCs w:val="24"/>
              </w:rPr>
              <w:t>4,554,271,452.63</w:t>
            </w:r>
          </w:p>
        </w:tc>
      </w:tr>
      <w:tr w14:paraId="03A4B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tcMar>
              <w:top w:w="0" w:type="dxa"/>
              <w:left w:w="118" w:type="dxa"/>
              <w:bottom w:w="10" w:type="dxa"/>
              <w:right w:w="118" w:type="dxa"/>
            </w:tcMar>
          </w:tcPr>
          <w:p w14:paraId="655FD2FF">
            <w:pPr>
              <w:rPr>
                <w:rFonts w:ascii="宋体" w:hAnsi="宋体" w:cs="宋体"/>
                <w:color w:val="000000"/>
                <w:sz w:val="24"/>
                <w:szCs w:val="24"/>
              </w:rPr>
            </w:pPr>
            <w:r>
              <w:rPr>
                <w:rFonts w:ascii="宋体" w:hAnsi="宋体" w:cs="宋体"/>
                <w:color w:val="000000"/>
                <w:sz w:val="24"/>
                <w:szCs w:val="24"/>
              </w:rPr>
              <w:t>报告期期间产品总赎回份额</w:t>
            </w:r>
          </w:p>
        </w:tc>
        <w:tc>
          <w:tcPr>
            <w:tcW w:w="6008" w:type="dxa"/>
            <w:tcMar>
              <w:top w:w="0" w:type="dxa"/>
              <w:left w:w="108" w:type="dxa"/>
              <w:bottom w:w="10" w:type="dxa"/>
              <w:right w:w="118" w:type="dxa"/>
            </w:tcMar>
          </w:tcPr>
          <w:p w14:paraId="096240DF">
            <w:pPr>
              <w:jc w:val="right"/>
              <w:rPr>
                <w:rFonts w:ascii="宋体" w:hAnsi="宋体" w:cs="宋体"/>
                <w:color w:val="000000"/>
                <w:sz w:val="24"/>
                <w:szCs w:val="24"/>
              </w:rPr>
            </w:pPr>
            <w:r>
              <w:rPr>
                <w:rFonts w:ascii="宋体" w:hAnsi="宋体" w:cs="宋体"/>
                <w:color w:val="000000"/>
                <w:sz w:val="24"/>
                <w:szCs w:val="24"/>
              </w:rPr>
              <w:t>-5,356,211,403.27</w:t>
            </w:r>
          </w:p>
        </w:tc>
      </w:tr>
      <w:tr w14:paraId="29F77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tcMar>
              <w:top w:w="0" w:type="dxa"/>
              <w:left w:w="118" w:type="dxa"/>
              <w:bottom w:w="10" w:type="dxa"/>
              <w:right w:w="118" w:type="dxa"/>
            </w:tcMar>
          </w:tcPr>
          <w:p w14:paraId="38AB4AD7">
            <w:pPr>
              <w:rPr>
                <w:rFonts w:ascii="宋体" w:hAnsi="宋体" w:cs="宋体"/>
                <w:color w:val="000000"/>
                <w:sz w:val="24"/>
                <w:szCs w:val="24"/>
              </w:rPr>
            </w:pPr>
            <w:r>
              <w:rPr>
                <w:rFonts w:ascii="宋体" w:hAnsi="宋体" w:cs="宋体"/>
                <w:color w:val="000000"/>
                <w:sz w:val="24"/>
                <w:szCs w:val="24"/>
              </w:rPr>
              <w:t>报告期期末产品份额总额</w:t>
            </w:r>
          </w:p>
        </w:tc>
        <w:tc>
          <w:tcPr>
            <w:tcW w:w="6008" w:type="dxa"/>
            <w:tcMar>
              <w:top w:w="0" w:type="dxa"/>
              <w:left w:w="108" w:type="dxa"/>
              <w:bottom w:w="10" w:type="dxa"/>
              <w:right w:w="118" w:type="dxa"/>
            </w:tcMar>
          </w:tcPr>
          <w:p w14:paraId="739CE843">
            <w:pPr>
              <w:jc w:val="right"/>
              <w:rPr>
                <w:rFonts w:ascii="宋体" w:hAnsi="宋体" w:cs="宋体"/>
                <w:color w:val="000000"/>
                <w:sz w:val="24"/>
                <w:szCs w:val="24"/>
              </w:rPr>
            </w:pPr>
            <w:r>
              <w:rPr>
                <w:rFonts w:ascii="宋体" w:hAnsi="宋体" w:cs="宋体"/>
                <w:color w:val="000000"/>
                <w:sz w:val="24"/>
                <w:szCs w:val="24"/>
              </w:rPr>
              <w:t>3,964,200,046.79</w:t>
            </w:r>
          </w:p>
        </w:tc>
      </w:tr>
      <w:tr w14:paraId="21917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shd w:val="clear" w:color="auto" w:fill="auto"/>
          </w:tcPr>
          <w:p w14:paraId="72891682">
            <w:pPr>
              <w:ind w:hanging="1"/>
              <w:jc w:val="left"/>
              <w:rPr>
                <w:rFonts w:ascii="宋体" w:hAnsi="宋体" w:cs="宋体"/>
                <w:color w:val="000000"/>
                <w:sz w:val="24"/>
                <w:szCs w:val="24"/>
              </w:rPr>
            </w:pPr>
            <w:r>
              <w:rPr>
                <w:rFonts w:ascii="宋体" w:hAnsi="宋体" w:cs="宋体"/>
                <w:b w:val="0"/>
                <w:i w:val="0"/>
                <w:strike w:val="0"/>
                <w:color w:val="000000"/>
                <w:sz w:val="24"/>
                <w:u w:val="none"/>
              </w:rPr>
              <w:t>T2109A</w:t>
            </w:r>
          </w:p>
        </w:tc>
        <w:tc>
          <w:tcPr>
            <w:tcW w:w="6008" w:type="dxa"/>
            <w:shd w:val="clear" w:color="auto" w:fill="auto"/>
          </w:tcPr>
          <w:p w14:paraId="62125D27">
            <w:pPr>
              <w:ind w:hanging="1"/>
              <w:jc w:val="right"/>
              <w:rPr>
                <w:rFonts w:ascii="宋体" w:hAnsi="宋体" w:cs="宋体"/>
                <w:color w:val="000000"/>
                <w:sz w:val="24"/>
                <w:szCs w:val="24"/>
              </w:rPr>
            </w:pPr>
            <w:r>
              <w:rPr>
                <w:rFonts w:ascii="宋体" w:hAnsi="宋体" w:cs="宋体"/>
                <w:b w:val="0"/>
                <w:i w:val="0"/>
                <w:strike w:val="0"/>
                <w:color w:val="000000"/>
                <w:sz w:val="24"/>
                <w:u w:val="none"/>
              </w:rPr>
              <w:t>3,176,044,258.45</w:t>
            </w:r>
          </w:p>
        </w:tc>
      </w:tr>
      <w:tr w14:paraId="10581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shd w:val="clear" w:color="auto" w:fill="auto"/>
          </w:tcPr>
          <w:p w14:paraId="1BC0568D">
            <w:pPr>
              <w:ind w:hanging="1"/>
              <w:jc w:val="left"/>
              <w:rPr>
                <w:rFonts w:ascii="宋体" w:hAnsi="宋体" w:cs="宋体"/>
                <w:color w:val="000000"/>
                <w:sz w:val="24"/>
                <w:szCs w:val="24"/>
              </w:rPr>
            </w:pPr>
            <w:r>
              <w:rPr>
                <w:rFonts w:ascii="宋体" w:hAnsi="宋体" w:cs="宋体"/>
                <w:b w:val="0"/>
                <w:i w:val="0"/>
                <w:strike w:val="0"/>
                <w:color w:val="000000"/>
                <w:sz w:val="24"/>
                <w:u w:val="none"/>
              </w:rPr>
              <w:t>T2109C</w:t>
            </w:r>
          </w:p>
        </w:tc>
        <w:tc>
          <w:tcPr>
            <w:tcW w:w="6008" w:type="dxa"/>
            <w:shd w:val="clear" w:color="auto" w:fill="auto"/>
          </w:tcPr>
          <w:p w14:paraId="2A8ADD32">
            <w:pPr>
              <w:ind w:hanging="1"/>
              <w:jc w:val="right"/>
              <w:rPr>
                <w:rFonts w:ascii="宋体" w:hAnsi="宋体" w:cs="宋体"/>
                <w:color w:val="000000"/>
                <w:sz w:val="24"/>
                <w:szCs w:val="24"/>
              </w:rPr>
            </w:pPr>
            <w:r>
              <w:rPr>
                <w:rFonts w:ascii="宋体" w:hAnsi="宋体" w:cs="宋体"/>
                <w:b w:val="0"/>
                <w:i w:val="0"/>
                <w:strike w:val="0"/>
                <w:color w:val="000000"/>
                <w:sz w:val="24"/>
                <w:u w:val="none"/>
              </w:rPr>
              <w:t>788,155,788.34</w:t>
            </w:r>
          </w:p>
        </w:tc>
      </w:tr>
    </w:tbl>
    <w:p w14:paraId="61DFF4A9">
      <w:pPr>
        <w:spacing w:line="360" w:lineRule="auto"/>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4.6 投资账户信息</w:t>
      </w:r>
    </w:p>
    <w:tbl>
      <w:tblPr>
        <w:tblStyle w:val="17"/>
        <w:tblW w:w="8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0"/>
        <w:gridCol w:w="1838"/>
        <w:gridCol w:w="1734"/>
        <w:gridCol w:w="3818"/>
      </w:tblGrid>
      <w:tr w14:paraId="39429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590" w:type="dxa"/>
            <w:tcMar>
              <w:top w:w="0" w:type="dxa"/>
              <w:left w:w="118" w:type="dxa"/>
              <w:bottom w:w="10" w:type="dxa"/>
              <w:right w:w="118" w:type="dxa"/>
            </w:tcMar>
          </w:tcPr>
          <w:p w14:paraId="59278516">
            <w:pPr>
              <w:rPr>
                <w:rFonts w:hint="default" w:ascii="宋体" w:hAnsi="宋体" w:eastAsia="宋体" w:cs="宋体"/>
                <w:color w:val="000000"/>
                <w:sz w:val="24"/>
                <w:szCs w:val="24"/>
                <w:lang w:val="en-US" w:eastAsia="zh-CN"/>
              </w:rPr>
            </w:pPr>
            <w:r>
              <w:rPr>
                <w:rFonts w:hint="eastAsia" w:ascii="宋体" w:hAnsi="宋体" w:cs="宋体"/>
                <w:color w:val="000000"/>
                <w:sz w:val="24"/>
                <w:szCs w:val="24"/>
                <w:lang w:val="en-US" w:eastAsia="zh-CN"/>
              </w:rPr>
              <w:t>账户类型</w:t>
            </w:r>
          </w:p>
        </w:tc>
        <w:tc>
          <w:tcPr>
            <w:tcW w:w="1838" w:type="dxa"/>
            <w:tcMar>
              <w:top w:w="0" w:type="dxa"/>
              <w:left w:w="108" w:type="dxa"/>
              <w:bottom w:w="10" w:type="dxa"/>
              <w:right w:w="118" w:type="dxa"/>
            </w:tcMar>
            <w:vAlign w:val="top"/>
          </w:tcPr>
          <w:p w14:paraId="399C4AD6">
            <w:pPr>
              <w:rPr>
                <w:rFonts w:hint="eastAsia" w:ascii="宋体" w:hAnsi="宋体" w:eastAsia="宋体" w:cs="宋体"/>
                <w:color w:val="000000"/>
                <w:sz w:val="24"/>
                <w:szCs w:val="24"/>
                <w:lang w:val="en-US" w:eastAsia="zh-CN"/>
              </w:rPr>
            </w:pPr>
            <w:r>
              <w:rPr>
                <w:rFonts w:hint="eastAsia" w:ascii="宋体" w:hAnsi="宋体" w:cs="宋体"/>
                <w:color w:val="000000"/>
                <w:sz w:val="24"/>
                <w:szCs w:val="24"/>
                <w:lang w:val="en-US" w:eastAsia="zh-CN"/>
              </w:rPr>
              <w:t>账户名称</w:t>
            </w:r>
          </w:p>
        </w:tc>
        <w:tc>
          <w:tcPr>
            <w:tcW w:w="1734" w:type="dxa"/>
            <w:tcMar>
              <w:top w:w="0" w:type="dxa"/>
              <w:left w:w="108" w:type="dxa"/>
              <w:bottom w:w="10" w:type="dxa"/>
              <w:right w:w="118" w:type="dxa"/>
            </w:tcMar>
            <w:vAlign w:val="top"/>
          </w:tcPr>
          <w:p w14:paraId="241A2D4B">
            <w:pPr>
              <w:jc w:val="both"/>
              <w:rPr>
                <w:rFonts w:hint="eastAsia" w:ascii="宋体" w:hAnsi="宋体" w:eastAsia="宋体" w:cs="宋体"/>
                <w:color w:val="000000"/>
                <w:sz w:val="24"/>
                <w:szCs w:val="24"/>
                <w:lang w:val="en-US" w:eastAsia="zh-CN"/>
              </w:rPr>
            </w:pPr>
            <w:r>
              <w:rPr>
                <w:rFonts w:hint="eastAsia" w:ascii="宋体" w:hAnsi="宋体" w:cs="宋体"/>
                <w:color w:val="000000"/>
                <w:sz w:val="24"/>
                <w:szCs w:val="24"/>
                <w:lang w:val="en-US" w:eastAsia="zh-CN"/>
              </w:rPr>
              <w:t>账号</w:t>
            </w:r>
          </w:p>
        </w:tc>
        <w:tc>
          <w:tcPr>
            <w:tcW w:w="3818" w:type="dxa"/>
            <w:tcMar>
              <w:top w:w="0" w:type="dxa"/>
              <w:left w:w="108" w:type="dxa"/>
              <w:bottom w:w="10" w:type="dxa"/>
              <w:right w:w="118" w:type="dxa"/>
            </w:tcMar>
            <w:vAlign w:val="top"/>
          </w:tcPr>
          <w:p w14:paraId="2C68D2FA">
            <w:pPr>
              <w:jc w:val="both"/>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开户行</w:t>
            </w:r>
          </w:p>
        </w:tc>
      </w:tr>
      <w:tr w14:paraId="45BB2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590" w:type="dxa"/>
            <w:tcMar>
              <w:top w:w="0" w:type="dxa"/>
              <w:left w:w="118" w:type="dxa"/>
              <w:bottom w:w="10" w:type="dxa"/>
              <w:right w:w="118" w:type="dxa"/>
            </w:tcMar>
          </w:tcPr>
          <w:p w14:paraId="2956EEE3">
            <w:pPr>
              <w:rPr>
                <w:rFonts w:hint="eastAsia" w:ascii="宋体" w:hAnsi="宋体" w:eastAsia="宋体" w:cs="宋体"/>
                <w:color w:val="000000"/>
                <w:sz w:val="24"/>
                <w:szCs w:val="24"/>
                <w:lang w:val="en-US" w:eastAsia="zh-CN"/>
              </w:rPr>
            </w:pPr>
            <w:r>
              <w:rPr>
                <w:rFonts w:hint="eastAsia" w:ascii="宋体" w:hAnsi="宋体" w:cs="宋体"/>
                <w:color w:val="000000"/>
                <w:sz w:val="24"/>
                <w:szCs w:val="24"/>
                <w:lang w:val="en-US" w:eastAsia="zh-CN"/>
              </w:rPr>
              <w:t>托管账户</w:t>
            </w:r>
          </w:p>
        </w:tc>
        <w:tc>
          <w:tcPr>
            <w:tcW w:w="1838" w:type="dxa"/>
            <w:tcMar>
              <w:top w:w="0" w:type="dxa"/>
              <w:left w:w="108" w:type="dxa"/>
              <w:bottom w:w="10" w:type="dxa"/>
              <w:right w:w="118" w:type="dxa"/>
            </w:tcMar>
            <w:vAlign w:val="center"/>
          </w:tcPr>
          <w:p w14:paraId="5DBCA103">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lang w:val="en-US" w:eastAsia="zh-CN" w:bidi="ar-SA"/>
              </w:rPr>
            </w:pPr>
            <w:r>
              <w:rPr>
                <w:rStyle w:val="53"/>
                <w:sz w:val="24"/>
                <w:szCs w:val="24"/>
                <w:lang w:val="en-US" w:eastAsia="zh-CN" w:bidi="ar"/>
              </w:rPr>
              <w:t>齐鲁银行股份有限公司天天盈9号</w:t>
            </w:r>
          </w:p>
        </w:tc>
        <w:tc>
          <w:tcPr>
            <w:tcW w:w="1734" w:type="dxa"/>
            <w:tcMar>
              <w:top w:w="0" w:type="dxa"/>
              <w:left w:w="108" w:type="dxa"/>
              <w:bottom w:w="10" w:type="dxa"/>
              <w:right w:w="118" w:type="dxa"/>
            </w:tcMar>
            <w:vAlign w:val="center"/>
          </w:tcPr>
          <w:p w14:paraId="3BA65019">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531902382310614</w:t>
            </w:r>
          </w:p>
        </w:tc>
        <w:tc>
          <w:tcPr>
            <w:tcW w:w="3818" w:type="dxa"/>
            <w:tcMar>
              <w:top w:w="0" w:type="dxa"/>
              <w:left w:w="108" w:type="dxa"/>
              <w:bottom w:w="10" w:type="dxa"/>
              <w:right w:w="118" w:type="dxa"/>
            </w:tcMar>
            <w:vAlign w:val="center"/>
          </w:tcPr>
          <w:p w14:paraId="092FFF1F">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招商银行济南分行营业部</w:t>
            </w:r>
          </w:p>
        </w:tc>
      </w:tr>
    </w:tbl>
    <w:p w14:paraId="25962D7B">
      <w:pPr>
        <w:spacing w:line="360" w:lineRule="auto"/>
        <w:rPr>
          <w:rFonts w:hint="default" w:ascii="宋体" w:hAnsi="宋体" w:cs="宋体"/>
          <w:color w:val="000000"/>
          <w:sz w:val="24"/>
          <w:szCs w:val="24"/>
          <w:lang w:val="en-US" w:eastAsia="zh-CN"/>
        </w:rPr>
      </w:pPr>
    </w:p>
    <w:p w14:paraId="606E37F4">
      <w:pPr>
        <w:spacing w:line="360" w:lineRule="auto"/>
        <w:rPr>
          <w:rFonts w:ascii="宋体" w:hAnsi="宋体" w:cs="宋体"/>
          <w:color w:val="000000"/>
          <w:sz w:val="24"/>
          <w:szCs w:val="24"/>
        </w:rPr>
      </w:pPr>
    </w:p>
    <w:p w14:paraId="3F57B2FF">
      <w:pPr>
        <w:jc w:val="center"/>
        <w:rPr>
          <w:rFonts w:ascii="宋体" w:hAnsi="宋体"/>
          <w:bCs/>
          <w:sz w:val="33"/>
          <w:szCs w:val="33"/>
        </w:rPr>
      </w:pPr>
      <w:r>
        <w:rPr>
          <w:rFonts w:hint="eastAsia" w:ascii="宋体" w:hAnsi="宋体"/>
          <w:bCs/>
          <w:sz w:val="33"/>
          <w:szCs w:val="33"/>
        </w:rPr>
        <w:t>5  托管人报告</w:t>
      </w:r>
    </w:p>
    <w:p w14:paraId="7B05A54E">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5.1托管人履职情况</w:t>
      </w:r>
    </w:p>
    <w:p w14:paraId="5A5BA62C">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5.1.1托管资产保管</w:t>
      </w:r>
    </w:p>
    <w:p w14:paraId="4BE7262F">
      <w:pPr>
        <w:spacing w:line="360" w:lineRule="auto"/>
        <w:ind w:firstLine="480" w:firstLineChars="200"/>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7EA0E24D">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5.1.2会计核算和估值</w:t>
      </w:r>
    </w:p>
    <w:p w14:paraId="1B6064C4">
      <w:pPr>
        <w:spacing w:line="360" w:lineRule="auto"/>
        <w:ind w:firstLine="480" w:firstLineChars="200"/>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招商银行按照与齐鲁银行股份有限公司在托管协议中约定的统一记账方法和会计处理原则，独立地设置、登录和保管本产品的全套账册，进行会计核算和资产估值。</w:t>
      </w:r>
    </w:p>
    <w:p w14:paraId="1FF77142">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5.1.3定期核对有关数据</w:t>
      </w:r>
    </w:p>
    <w:p w14:paraId="0D559706">
      <w:pPr>
        <w:spacing w:line="360" w:lineRule="auto"/>
        <w:ind w:firstLine="480" w:firstLineChars="200"/>
        <w:rPr>
          <w:rFonts w:hint="eastAsia"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招商银行根据托管协议约定与齐鲁银行股份有限公司或外包机构定期进行账务核对。</w:t>
      </w:r>
    </w:p>
    <w:p w14:paraId="7E4BC445">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5.1.4投资监督</w:t>
      </w:r>
    </w:p>
    <w:p w14:paraId="360CE3F1">
      <w:pPr>
        <w:spacing w:line="360" w:lineRule="auto"/>
        <w:ind w:firstLine="480" w:firstLineChars="200"/>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招商银行根据法规、托管协议以及双方约定的投资监督条款，对投资运作情况进行监督。</w:t>
      </w:r>
    </w:p>
    <w:p w14:paraId="6638ED96">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5.2托管人声明</w:t>
      </w:r>
    </w:p>
    <w:p w14:paraId="07826E81">
      <w:pPr>
        <w:spacing w:line="360" w:lineRule="auto"/>
        <w:ind w:firstLine="480" w:firstLineChars="200"/>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托管人声明：招商银行具备完善的公司治理结构、内部稽核监控制度和风险控制制度，我行在齐鲁银行股份有限公司“泉心理财”</w:t>
      </w:r>
      <w:r>
        <w:rPr>
          <w:rFonts w:hint="eastAsia" w:ascii="宋体" w:hAnsi="宋体" w:cs="宋体"/>
          <w:color w:val="000000"/>
          <w:kern w:val="2"/>
          <w:sz w:val="24"/>
          <w:szCs w:val="24"/>
        </w:rPr>
        <w:t>天天盈9号</w:t>
      </w:r>
      <w:r>
        <w:rPr>
          <w:rFonts w:hint="eastAsia" w:ascii="宋体" w:hAnsi="宋体" w:cs="宋体"/>
          <w:color w:val="000000"/>
          <w:sz w:val="24"/>
          <w:szCs w:val="24"/>
          <w:highlight w:val="none"/>
          <w:lang w:val="en-US" w:eastAsia="zh-CN"/>
        </w:rPr>
        <w:t>托管的过程中，严格遵守有关法律法规、托管协议的规定，尽职尽责地履行托管义务并安全保管托管资产。</w:t>
      </w:r>
    </w:p>
    <w:p w14:paraId="7D4C6C90">
      <w:pPr>
        <w:spacing w:line="360" w:lineRule="auto"/>
        <w:ind w:firstLine="480" w:firstLineChars="200"/>
        <w:rPr>
          <w:rFonts w:hint="eastAsia" w:ascii="宋体" w:hAnsi="宋体" w:cs="宋体"/>
          <w:color w:val="000000"/>
          <w:sz w:val="24"/>
          <w:szCs w:val="24"/>
          <w:highlight w:val="none"/>
          <w:lang w:val="en-US" w:eastAsia="zh-CN"/>
        </w:rPr>
      </w:pPr>
    </w:p>
    <w:p w14:paraId="4E9457CB">
      <w:pPr>
        <w:spacing w:line="360" w:lineRule="auto"/>
        <w:ind w:firstLine="660" w:firstLineChars="200"/>
        <w:jc w:val="center"/>
        <w:rPr>
          <w:rFonts w:hint="eastAsia" w:ascii="宋体" w:hAnsi="宋体"/>
          <w:bCs/>
          <w:sz w:val="33"/>
          <w:szCs w:val="33"/>
          <w:lang w:eastAsia="zh-CN"/>
        </w:rPr>
      </w:pPr>
      <w:r>
        <w:rPr>
          <w:rFonts w:hint="eastAsia" w:ascii="宋体" w:hAnsi="宋体"/>
          <w:bCs/>
          <w:sz w:val="33"/>
          <w:szCs w:val="33"/>
          <w:lang w:val="en-US" w:eastAsia="zh-CN"/>
        </w:rPr>
        <w:t>6</w:t>
      </w:r>
      <w:r>
        <w:rPr>
          <w:rFonts w:hint="eastAsia" w:ascii="宋体" w:hAnsi="宋体"/>
          <w:bCs/>
          <w:sz w:val="33"/>
          <w:szCs w:val="33"/>
        </w:rPr>
        <w:t xml:space="preserve">  </w:t>
      </w:r>
      <w:r>
        <w:rPr>
          <w:rFonts w:hint="eastAsia" w:ascii="宋体" w:hAnsi="宋体"/>
          <w:bCs/>
          <w:sz w:val="33"/>
          <w:szCs w:val="33"/>
          <w:lang w:eastAsia="zh-CN"/>
        </w:rPr>
        <w:t>期末前十大份额投资人情况</w:t>
      </w:r>
    </w:p>
    <w:tbl>
      <w:tblPr>
        <w:tblStyle w:val="17"/>
        <w:tblW w:w="841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57"/>
        <w:gridCol w:w="2590"/>
        <w:gridCol w:w="2430"/>
        <w:gridCol w:w="2340"/>
      </w:tblGrid>
      <w:tr w14:paraId="3C64C6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vAlign w:val="top"/>
          </w:tcPr>
          <w:p w14:paraId="52811347">
            <w:pPr>
              <w:keepNext w:val="0"/>
              <w:keepLines w:val="0"/>
              <w:widowControl/>
              <w:suppressLineNumbers w:val="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序号</w:t>
            </w:r>
          </w:p>
        </w:tc>
        <w:tc>
          <w:tcPr>
            <w:tcW w:w="2590" w:type="dxa"/>
            <w:tcBorders>
              <w:top w:val="single" w:color="000000" w:sz="4" w:space="0"/>
              <w:left w:val="single" w:color="000000" w:sz="4" w:space="0"/>
              <w:bottom w:val="single" w:color="000000" w:sz="4" w:space="0"/>
              <w:right w:val="single" w:color="000000" w:sz="4" w:space="0"/>
            </w:tcBorders>
            <w:shd w:val="clear" w:color="auto" w:fill="auto"/>
            <w:vAlign w:val="top"/>
          </w:tcPr>
          <w:p w14:paraId="5C0A8655">
            <w:pPr>
              <w:keepNext w:val="0"/>
              <w:keepLines w:val="0"/>
              <w:widowControl/>
              <w:suppressLineNumbers w:val="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投资者类别</w:t>
            </w:r>
          </w:p>
        </w:tc>
        <w:tc>
          <w:tcPr>
            <w:tcW w:w="2430" w:type="dxa"/>
            <w:tcBorders>
              <w:top w:val="single" w:color="000000" w:sz="4" w:space="0"/>
              <w:left w:val="single" w:color="000000" w:sz="4" w:space="0"/>
              <w:bottom w:val="single" w:color="000000" w:sz="4" w:space="0"/>
              <w:right w:val="single" w:color="000000" w:sz="4" w:space="0"/>
            </w:tcBorders>
            <w:shd w:val="clear" w:color="auto" w:fill="auto"/>
            <w:vAlign w:val="top"/>
          </w:tcPr>
          <w:p w14:paraId="5488C0C4">
            <w:pPr>
              <w:keepNext w:val="0"/>
              <w:keepLines w:val="0"/>
              <w:widowControl/>
              <w:suppressLineNumbers w:val="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持有份额（份）</w:t>
            </w:r>
          </w:p>
        </w:tc>
        <w:tc>
          <w:tcPr>
            <w:tcW w:w="2340" w:type="dxa"/>
            <w:tcBorders>
              <w:top w:val="single" w:color="000000" w:sz="4" w:space="0"/>
              <w:left w:val="single" w:color="000000" w:sz="4" w:space="0"/>
              <w:bottom w:val="single" w:color="000000" w:sz="4" w:space="0"/>
              <w:right w:val="single" w:color="000000" w:sz="4" w:space="0"/>
            </w:tcBorders>
            <w:shd w:val="clear" w:color="auto" w:fill="auto"/>
            <w:vAlign w:val="top"/>
          </w:tcPr>
          <w:p w14:paraId="7247662B">
            <w:pPr>
              <w:keepNext w:val="0"/>
              <w:keepLines w:val="0"/>
              <w:widowControl/>
              <w:suppressLineNumbers w:val="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占总份额的比例（%）</w:t>
            </w:r>
          </w:p>
        </w:tc>
      </w:tr>
      <w:tr w14:paraId="5EC7EF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318C1B4">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bookmarkStart w:id="2" w:name="_GoBack" w:colFirst="1" w:colLast="3"/>
            <w:r>
              <w:rPr>
                <w:rFonts w:hint="eastAsia" w:ascii="宋体" w:hAnsi="宋体" w:eastAsia="宋体" w:cs="宋体"/>
                <w:i w:val="0"/>
                <w:iCs w:val="0"/>
                <w:color w:val="000000"/>
                <w:kern w:val="0"/>
                <w:sz w:val="24"/>
                <w:szCs w:val="24"/>
                <w:u w:val="none"/>
                <w:lang w:val="en-US" w:eastAsia="zh-CN" w:bidi="ar"/>
              </w:rPr>
              <w:t>1</w:t>
            </w:r>
          </w:p>
        </w:tc>
        <w:tc>
          <w:tcPr>
            <w:tcW w:w="259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D7D0C1E">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个人</w:t>
            </w:r>
          </w:p>
        </w:tc>
        <w:tc>
          <w:tcPr>
            <w:tcW w:w="243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8378C77">
            <w:pPr>
              <w:keepNext w:val="0"/>
              <w:keepLines w:val="0"/>
              <w:widowControl/>
              <w:suppressLineNumbers w:val="0"/>
              <w:jc w:val="righ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116,330,498.85</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6C62FAE">
            <w:pPr>
              <w:keepNext w:val="0"/>
              <w:keepLines w:val="0"/>
              <w:widowControl/>
              <w:suppressLineNumbers w:val="0"/>
              <w:jc w:val="righ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2.93 </w:t>
            </w:r>
          </w:p>
        </w:tc>
      </w:tr>
      <w:tr w14:paraId="7F7FCA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1832067">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59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DEBC0C1">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机构</w:t>
            </w:r>
          </w:p>
        </w:tc>
        <w:tc>
          <w:tcPr>
            <w:tcW w:w="243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3B7DD4E">
            <w:pPr>
              <w:keepNext w:val="0"/>
              <w:keepLines w:val="0"/>
              <w:widowControl/>
              <w:suppressLineNumbers w:val="0"/>
              <w:jc w:val="righ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52,031,734.00</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0223134">
            <w:pPr>
              <w:keepNext w:val="0"/>
              <w:keepLines w:val="0"/>
              <w:widowControl/>
              <w:suppressLineNumbers w:val="0"/>
              <w:jc w:val="righ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1.31 </w:t>
            </w:r>
          </w:p>
        </w:tc>
      </w:tr>
      <w:tr w14:paraId="6ABF57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7746DF0">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259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98591FE">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机构</w:t>
            </w:r>
          </w:p>
        </w:tc>
        <w:tc>
          <w:tcPr>
            <w:tcW w:w="243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469078D">
            <w:pPr>
              <w:keepNext w:val="0"/>
              <w:keepLines w:val="0"/>
              <w:widowControl/>
              <w:suppressLineNumbers w:val="0"/>
              <w:jc w:val="righ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48,831,495.54</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1B6BE78">
            <w:pPr>
              <w:keepNext w:val="0"/>
              <w:keepLines w:val="0"/>
              <w:widowControl/>
              <w:suppressLineNumbers w:val="0"/>
              <w:jc w:val="righ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1.23 </w:t>
            </w:r>
          </w:p>
        </w:tc>
      </w:tr>
      <w:tr w14:paraId="3296FF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749F362">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259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48959CF">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机构</w:t>
            </w:r>
          </w:p>
        </w:tc>
        <w:tc>
          <w:tcPr>
            <w:tcW w:w="243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5DC8A9A">
            <w:pPr>
              <w:keepNext w:val="0"/>
              <w:keepLines w:val="0"/>
              <w:widowControl/>
              <w:suppressLineNumbers w:val="0"/>
              <w:jc w:val="righ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45,831,692.98</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B9719CA">
            <w:pPr>
              <w:keepNext w:val="0"/>
              <w:keepLines w:val="0"/>
              <w:widowControl/>
              <w:suppressLineNumbers w:val="0"/>
              <w:jc w:val="righ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1.16 </w:t>
            </w:r>
          </w:p>
        </w:tc>
      </w:tr>
      <w:tr w14:paraId="42102D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4D15118">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259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5694A4E">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个人</w:t>
            </w:r>
          </w:p>
        </w:tc>
        <w:tc>
          <w:tcPr>
            <w:tcW w:w="243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82AE71A">
            <w:pPr>
              <w:keepNext w:val="0"/>
              <w:keepLines w:val="0"/>
              <w:widowControl/>
              <w:suppressLineNumbers w:val="0"/>
              <w:jc w:val="righ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28,748,418.47</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7E2204E">
            <w:pPr>
              <w:keepNext w:val="0"/>
              <w:keepLines w:val="0"/>
              <w:widowControl/>
              <w:suppressLineNumbers w:val="0"/>
              <w:jc w:val="righ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0.73 </w:t>
            </w:r>
          </w:p>
        </w:tc>
      </w:tr>
      <w:tr w14:paraId="17A37D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7B9624B">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259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A9AE5CC">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机构</w:t>
            </w:r>
          </w:p>
        </w:tc>
        <w:tc>
          <w:tcPr>
            <w:tcW w:w="243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3A8C50B">
            <w:pPr>
              <w:keepNext w:val="0"/>
              <w:keepLines w:val="0"/>
              <w:widowControl/>
              <w:suppressLineNumbers w:val="0"/>
              <w:jc w:val="righ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27,686,328.88</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F10B4AA">
            <w:pPr>
              <w:keepNext w:val="0"/>
              <w:keepLines w:val="0"/>
              <w:widowControl/>
              <w:suppressLineNumbers w:val="0"/>
              <w:jc w:val="righ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0.70 </w:t>
            </w:r>
          </w:p>
        </w:tc>
      </w:tr>
      <w:tr w14:paraId="6EF41E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80C35A7">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259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E4E8E77">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机构</w:t>
            </w:r>
          </w:p>
        </w:tc>
        <w:tc>
          <w:tcPr>
            <w:tcW w:w="243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181AA70">
            <w:pPr>
              <w:keepNext w:val="0"/>
              <w:keepLines w:val="0"/>
              <w:widowControl/>
              <w:suppressLineNumbers w:val="0"/>
              <w:jc w:val="righ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27,534,138.03</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AB902E9">
            <w:pPr>
              <w:keepNext w:val="0"/>
              <w:keepLines w:val="0"/>
              <w:widowControl/>
              <w:suppressLineNumbers w:val="0"/>
              <w:jc w:val="righ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0.69 </w:t>
            </w:r>
          </w:p>
        </w:tc>
      </w:tr>
      <w:tr w14:paraId="550807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AD6014D">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259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E2CF054">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机构</w:t>
            </w:r>
          </w:p>
        </w:tc>
        <w:tc>
          <w:tcPr>
            <w:tcW w:w="243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979D7AB">
            <w:pPr>
              <w:keepNext w:val="0"/>
              <w:keepLines w:val="0"/>
              <w:widowControl/>
              <w:suppressLineNumbers w:val="0"/>
              <w:jc w:val="righ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23,728,563.41</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48287D7">
            <w:pPr>
              <w:keepNext w:val="0"/>
              <w:keepLines w:val="0"/>
              <w:widowControl/>
              <w:suppressLineNumbers w:val="0"/>
              <w:jc w:val="righ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0.60 </w:t>
            </w:r>
          </w:p>
        </w:tc>
      </w:tr>
      <w:tr w14:paraId="1944A3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74EA1B5">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259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0B2B05A">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机构</w:t>
            </w:r>
          </w:p>
        </w:tc>
        <w:tc>
          <w:tcPr>
            <w:tcW w:w="243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0321A67">
            <w:pPr>
              <w:keepNext w:val="0"/>
              <w:keepLines w:val="0"/>
              <w:widowControl/>
              <w:suppressLineNumbers w:val="0"/>
              <w:jc w:val="righ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21,451,610.57</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B38FEE0">
            <w:pPr>
              <w:keepNext w:val="0"/>
              <w:keepLines w:val="0"/>
              <w:widowControl/>
              <w:suppressLineNumbers w:val="0"/>
              <w:jc w:val="righ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0.54 </w:t>
            </w:r>
          </w:p>
        </w:tc>
      </w:tr>
      <w:tr w14:paraId="04E66B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C93111E">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259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EB5440C">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机构</w:t>
            </w:r>
          </w:p>
        </w:tc>
        <w:tc>
          <w:tcPr>
            <w:tcW w:w="243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1FF88F2">
            <w:pPr>
              <w:keepNext w:val="0"/>
              <w:keepLines w:val="0"/>
              <w:widowControl/>
              <w:suppressLineNumbers w:val="0"/>
              <w:jc w:val="righ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16,958,595.08</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FE52427">
            <w:pPr>
              <w:keepNext w:val="0"/>
              <w:keepLines w:val="0"/>
              <w:widowControl/>
              <w:suppressLineNumbers w:val="0"/>
              <w:jc w:val="righ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0.43 </w:t>
            </w:r>
          </w:p>
        </w:tc>
      </w:tr>
      <w:bookmarkEnd w:id="2"/>
    </w:tbl>
    <w:p w14:paraId="5D6A082B">
      <w:pPr>
        <w:spacing w:line="360" w:lineRule="auto"/>
        <w:ind w:firstLine="660" w:firstLineChars="200"/>
        <w:rPr>
          <w:rFonts w:hint="eastAsia" w:ascii="宋体" w:hAnsi="宋体"/>
          <w:bCs/>
          <w:sz w:val="33"/>
          <w:szCs w:val="33"/>
          <w:lang w:val="en-US" w:eastAsia="zh-CN"/>
        </w:rPr>
      </w:pPr>
    </w:p>
    <w:p w14:paraId="1E366474">
      <w:pPr>
        <w:spacing w:line="360" w:lineRule="auto"/>
        <w:ind w:firstLine="420"/>
        <w:rPr>
          <w:rFonts w:ascii="宋体" w:hAnsi="宋体" w:cs="宋体"/>
          <w:color w:val="000000"/>
          <w:sz w:val="24"/>
          <w:szCs w:val="24"/>
        </w:rPr>
      </w:pPr>
    </w:p>
    <w:p w14:paraId="4CEE12A8">
      <w:pPr>
        <w:spacing w:line="360" w:lineRule="auto"/>
        <w:ind w:firstLine="420"/>
        <w:rPr>
          <w:rFonts w:eastAsia="Times New Roman"/>
        </w:rPr>
      </w:pPr>
      <w:r>
        <w:rPr>
          <w:rFonts w:ascii="Calibri" w:hAnsi="Calibri" w:eastAsia="Calibri" w:cs="Calibri"/>
          <w:szCs w:val="21"/>
        </w:rPr>
        <w:t> </w:t>
      </w:r>
    </w:p>
    <w:p w14:paraId="41A9E5EE">
      <w:pPr>
        <w:jc w:val="right"/>
        <w:rPr>
          <w:rFonts w:ascii="宋体" w:hAnsi="宋体" w:cs="宋体"/>
          <w:color w:val="000000"/>
          <w:sz w:val="24"/>
          <w:szCs w:val="24"/>
        </w:rPr>
      </w:pPr>
      <w:r>
        <w:rPr>
          <w:rFonts w:hint="eastAsia" w:ascii="宋体" w:hAnsi="宋体" w:cs="宋体"/>
          <w:color w:val="000000"/>
          <w:sz w:val="24"/>
          <w:szCs w:val="24"/>
        </w:rPr>
        <w:t>齐鲁银行股份有限公司</w:t>
      </w:r>
    </w:p>
    <w:p w14:paraId="5A65A239">
      <w:pPr>
        <w:ind w:firstLine="400"/>
        <w:jc w:val="right"/>
        <w:rPr>
          <w:rFonts w:ascii="宋体" w:hAnsi="宋体" w:cs="宋体"/>
          <w:color w:val="000000"/>
          <w:sz w:val="24"/>
          <w:szCs w:val="24"/>
        </w:rPr>
      </w:pPr>
      <w:r>
        <w:rPr>
          <w:rFonts w:hint="eastAsia" w:ascii="宋体" w:hAnsi="宋体" w:cs="宋体"/>
          <w:color w:val="000000"/>
          <w:sz w:val="24"/>
          <w:szCs w:val="24"/>
        </w:rPr>
        <w:t>2026-08-29</w:t>
      </w:r>
    </w:p>
    <w:p w14:paraId="65ADF049">
      <w:pPr>
        <w:jc w:val="right"/>
        <w:rPr>
          <w:rFonts w:ascii="宋体" w:hAnsi="宋体"/>
          <w:sz w:val="28"/>
          <w:szCs w:val="28"/>
        </w:rPr>
      </w:pP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75237C">
    <w:pPr>
      <w:pStyle w:val="10"/>
      <w:framePr w:wrap="around" w:vAnchor="text" w:hAnchor="margin" w:xAlign="right" w:y="1"/>
      <w:rPr>
        <w:rStyle w:val="20"/>
      </w:rPr>
    </w:pPr>
    <w:r>
      <w:rPr>
        <w:rStyle w:val="20"/>
        <w:rFonts w:hint="eastAsia"/>
      </w:rPr>
      <w:t xml:space="preserve"> </w:t>
    </w:r>
  </w:p>
  <w:p w14:paraId="1C87CAA2">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AC4A84">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5DB1101E">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305A"/>
    <w:rsid w:val="00035197"/>
    <w:rsid w:val="00036749"/>
    <w:rsid w:val="00036CDC"/>
    <w:rsid w:val="0003799B"/>
    <w:rsid w:val="00047F36"/>
    <w:rsid w:val="00055BE3"/>
    <w:rsid w:val="0006004E"/>
    <w:rsid w:val="0006022E"/>
    <w:rsid w:val="00062D58"/>
    <w:rsid w:val="000666E4"/>
    <w:rsid w:val="000739FE"/>
    <w:rsid w:val="00074396"/>
    <w:rsid w:val="000745C5"/>
    <w:rsid w:val="00074778"/>
    <w:rsid w:val="000811DB"/>
    <w:rsid w:val="00081814"/>
    <w:rsid w:val="000825A8"/>
    <w:rsid w:val="000825DB"/>
    <w:rsid w:val="00083139"/>
    <w:rsid w:val="00084444"/>
    <w:rsid w:val="000954BC"/>
    <w:rsid w:val="000957D7"/>
    <w:rsid w:val="00096252"/>
    <w:rsid w:val="000A0247"/>
    <w:rsid w:val="000A1C35"/>
    <w:rsid w:val="000B049B"/>
    <w:rsid w:val="000B12F7"/>
    <w:rsid w:val="000B65EC"/>
    <w:rsid w:val="000C01AC"/>
    <w:rsid w:val="000C0357"/>
    <w:rsid w:val="000C5B47"/>
    <w:rsid w:val="000D078C"/>
    <w:rsid w:val="000D4CEA"/>
    <w:rsid w:val="000D5DDE"/>
    <w:rsid w:val="000E103E"/>
    <w:rsid w:val="000E2280"/>
    <w:rsid w:val="000E5BF4"/>
    <w:rsid w:val="000E7303"/>
    <w:rsid w:val="000E7594"/>
    <w:rsid w:val="000E76D1"/>
    <w:rsid w:val="000E7EE4"/>
    <w:rsid w:val="000F1CA3"/>
    <w:rsid w:val="000F1EB8"/>
    <w:rsid w:val="000F79B4"/>
    <w:rsid w:val="00123DCF"/>
    <w:rsid w:val="001241D2"/>
    <w:rsid w:val="00127EE5"/>
    <w:rsid w:val="00130058"/>
    <w:rsid w:val="001304CE"/>
    <w:rsid w:val="00130B97"/>
    <w:rsid w:val="001318F5"/>
    <w:rsid w:val="00131F63"/>
    <w:rsid w:val="001321D3"/>
    <w:rsid w:val="001367E6"/>
    <w:rsid w:val="0013763A"/>
    <w:rsid w:val="00137F13"/>
    <w:rsid w:val="00140432"/>
    <w:rsid w:val="00142BF7"/>
    <w:rsid w:val="001431D2"/>
    <w:rsid w:val="001438D5"/>
    <w:rsid w:val="001505C2"/>
    <w:rsid w:val="0015110C"/>
    <w:rsid w:val="0015418C"/>
    <w:rsid w:val="001546E3"/>
    <w:rsid w:val="00156CE7"/>
    <w:rsid w:val="001634F8"/>
    <w:rsid w:val="00172A27"/>
    <w:rsid w:val="00175535"/>
    <w:rsid w:val="00176115"/>
    <w:rsid w:val="0019201F"/>
    <w:rsid w:val="00193F23"/>
    <w:rsid w:val="00196688"/>
    <w:rsid w:val="001A6A60"/>
    <w:rsid w:val="001A6DCE"/>
    <w:rsid w:val="001B0D81"/>
    <w:rsid w:val="001B2258"/>
    <w:rsid w:val="001B3575"/>
    <w:rsid w:val="001B43F0"/>
    <w:rsid w:val="001B6489"/>
    <w:rsid w:val="001C4ACD"/>
    <w:rsid w:val="001C5999"/>
    <w:rsid w:val="001D364E"/>
    <w:rsid w:val="001D61DA"/>
    <w:rsid w:val="001E1A37"/>
    <w:rsid w:val="001E27AF"/>
    <w:rsid w:val="001E2A08"/>
    <w:rsid w:val="001E4B7A"/>
    <w:rsid w:val="001E5E17"/>
    <w:rsid w:val="001E7354"/>
    <w:rsid w:val="001E7E3E"/>
    <w:rsid w:val="001F28F0"/>
    <w:rsid w:val="001F4ADC"/>
    <w:rsid w:val="001F5BAE"/>
    <w:rsid w:val="001F7D68"/>
    <w:rsid w:val="00203B47"/>
    <w:rsid w:val="00203F6A"/>
    <w:rsid w:val="00210223"/>
    <w:rsid w:val="0021036E"/>
    <w:rsid w:val="00212735"/>
    <w:rsid w:val="00212AC6"/>
    <w:rsid w:val="00217B81"/>
    <w:rsid w:val="00222DFB"/>
    <w:rsid w:val="00226962"/>
    <w:rsid w:val="00226D1D"/>
    <w:rsid w:val="00226FB5"/>
    <w:rsid w:val="00227C89"/>
    <w:rsid w:val="0024340D"/>
    <w:rsid w:val="00246E06"/>
    <w:rsid w:val="002520E6"/>
    <w:rsid w:val="00254241"/>
    <w:rsid w:val="002543ED"/>
    <w:rsid w:val="002550F8"/>
    <w:rsid w:val="00256F99"/>
    <w:rsid w:val="00261703"/>
    <w:rsid w:val="00265F21"/>
    <w:rsid w:val="002709E9"/>
    <w:rsid w:val="00280418"/>
    <w:rsid w:val="00285198"/>
    <w:rsid w:val="0028673C"/>
    <w:rsid w:val="00291837"/>
    <w:rsid w:val="00293CED"/>
    <w:rsid w:val="002A1060"/>
    <w:rsid w:val="002A6967"/>
    <w:rsid w:val="002B18D0"/>
    <w:rsid w:val="002B1BF7"/>
    <w:rsid w:val="002B2425"/>
    <w:rsid w:val="002B5C75"/>
    <w:rsid w:val="002B6AB0"/>
    <w:rsid w:val="002B6D92"/>
    <w:rsid w:val="002C0D52"/>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70E3"/>
    <w:rsid w:val="003217E4"/>
    <w:rsid w:val="003245FC"/>
    <w:rsid w:val="003350C8"/>
    <w:rsid w:val="00336953"/>
    <w:rsid w:val="0034174F"/>
    <w:rsid w:val="00347E59"/>
    <w:rsid w:val="0035009E"/>
    <w:rsid w:val="00351099"/>
    <w:rsid w:val="00352648"/>
    <w:rsid w:val="00352670"/>
    <w:rsid w:val="00353071"/>
    <w:rsid w:val="0035379B"/>
    <w:rsid w:val="003545C4"/>
    <w:rsid w:val="00354AB0"/>
    <w:rsid w:val="00355F58"/>
    <w:rsid w:val="00362921"/>
    <w:rsid w:val="003629D6"/>
    <w:rsid w:val="0036621F"/>
    <w:rsid w:val="00370236"/>
    <w:rsid w:val="00370D1C"/>
    <w:rsid w:val="0037107A"/>
    <w:rsid w:val="0037163C"/>
    <w:rsid w:val="00372961"/>
    <w:rsid w:val="00373861"/>
    <w:rsid w:val="0037574C"/>
    <w:rsid w:val="00380B72"/>
    <w:rsid w:val="00385970"/>
    <w:rsid w:val="00386B5A"/>
    <w:rsid w:val="00391B1F"/>
    <w:rsid w:val="00392524"/>
    <w:rsid w:val="0039364C"/>
    <w:rsid w:val="00393CB1"/>
    <w:rsid w:val="003942F4"/>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64C"/>
    <w:rsid w:val="0041580B"/>
    <w:rsid w:val="00415C27"/>
    <w:rsid w:val="00415F33"/>
    <w:rsid w:val="004169FD"/>
    <w:rsid w:val="00420876"/>
    <w:rsid w:val="0042283D"/>
    <w:rsid w:val="00422CED"/>
    <w:rsid w:val="004332EF"/>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B6EF6"/>
    <w:rsid w:val="004C126D"/>
    <w:rsid w:val="004C2C74"/>
    <w:rsid w:val="004C439A"/>
    <w:rsid w:val="004C56A8"/>
    <w:rsid w:val="004C689C"/>
    <w:rsid w:val="004D2B6B"/>
    <w:rsid w:val="004D2D2A"/>
    <w:rsid w:val="004E2CFE"/>
    <w:rsid w:val="004E344E"/>
    <w:rsid w:val="004E4E80"/>
    <w:rsid w:val="004E53DD"/>
    <w:rsid w:val="004F50D0"/>
    <w:rsid w:val="004F55AB"/>
    <w:rsid w:val="004F5803"/>
    <w:rsid w:val="004F64A1"/>
    <w:rsid w:val="00500777"/>
    <w:rsid w:val="00501D92"/>
    <w:rsid w:val="00503B75"/>
    <w:rsid w:val="005066A6"/>
    <w:rsid w:val="00511DB9"/>
    <w:rsid w:val="00513688"/>
    <w:rsid w:val="00513763"/>
    <w:rsid w:val="005231F4"/>
    <w:rsid w:val="00524996"/>
    <w:rsid w:val="00524F71"/>
    <w:rsid w:val="00527A49"/>
    <w:rsid w:val="005310A6"/>
    <w:rsid w:val="0053595B"/>
    <w:rsid w:val="00537901"/>
    <w:rsid w:val="00540DE6"/>
    <w:rsid w:val="00542A91"/>
    <w:rsid w:val="0054387B"/>
    <w:rsid w:val="005465B6"/>
    <w:rsid w:val="00554065"/>
    <w:rsid w:val="00555D8D"/>
    <w:rsid w:val="00556DA2"/>
    <w:rsid w:val="00560EAF"/>
    <w:rsid w:val="00572059"/>
    <w:rsid w:val="00573E83"/>
    <w:rsid w:val="00575762"/>
    <w:rsid w:val="005775FA"/>
    <w:rsid w:val="00583550"/>
    <w:rsid w:val="00591622"/>
    <w:rsid w:val="005947ED"/>
    <w:rsid w:val="00596277"/>
    <w:rsid w:val="00596803"/>
    <w:rsid w:val="005A6657"/>
    <w:rsid w:val="005B0572"/>
    <w:rsid w:val="005B19E8"/>
    <w:rsid w:val="005B6C71"/>
    <w:rsid w:val="005B7EF7"/>
    <w:rsid w:val="005C208D"/>
    <w:rsid w:val="005C6300"/>
    <w:rsid w:val="005D0C97"/>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27DC0"/>
    <w:rsid w:val="00632039"/>
    <w:rsid w:val="00641758"/>
    <w:rsid w:val="00643676"/>
    <w:rsid w:val="006436D6"/>
    <w:rsid w:val="006458E3"/>
    <w:rsid w:val="006464AD"/>
    <w:rsid w:val="00647545"/>
    <w:rsid w:val="00647AB1"/>
    <w:rsid w:val="00655059"/>
    <w:rsid w:val="00660553"/>
    <w:rsid w:val="00663245"/>
    <w:rsid w:val="00663DE1"/>
    <w:rsid w:val="00664C86"/>
    <w:rsid w:val="00665902"/>
    <w:rsid w:val="006664D5"/>
    <w:rsid w:val="00667447"/>
    <w:rsid w:val="0067267E"/>
    <w:rsid w:val="00675178"/>
    <w:rsid w:val="006761C2"/>
    <w:rsid w:val="006771FF"/>
    <w:rsid w:val="00682943"/>
    <w:rsid w:val="00683D3B"/>
    <w:rsid w:val="006876F4"/>
    <w:rsid w:val="00692A30"/>
    <w:rsid w:val="00693EF1"/>
    <w:rsid w:val="00697DB7"/>
    <w:rsid w:val="006A2BA8"/>
    <w:rsid w:val="006A307A"/>
    <w:rsid w:val="006B0B91"/>
    <w:rsid w:val="006B24E7"/>
    <w:rsid w:val="006B554E"/>
    <w:rsid w:val="006B5B87"/>
    <w:rsid w:val="006B77BE"/>
    <w:rsid w:val="006C21A8"/>
    <w:rsid w:val="006C49D3"/>
    <w:rsid w:val="006C71D5"/>
    <w:rsid w:val="006C742E"/>
    <w:rsid w:val="006D4D97"/>
    <w:rsid w:val="006D78DE"/>
    <w:rsid w:val="006E2B12"/>
    <w:rsid w:val="006E3BE7"/>
    <w:rsid w:val="006E5986"/>
    <w:rsid w:val="006E5F79"/>
    <w:rsid w:val="006E6073"/>
    <w:rsid w:val="006E72DC"/>
    <w:rsid w:val="006E7D51"/>
    <w:rsid w:val="006F01F5"/>
    <w:rsid w:val="006F05AC"/>
    <w:rsid w:val="006F1E99"/>
    <w:rsid w:val="006F26FB"/>
    <w:rsid w:val="006F2A9A"/>
    <w:rsid w:val="006F33DF"/>
    <w:rsid w:val="006F3BCC"/>
    <w:rsid w:val="00710F9C"/>
    <w:rsid w:val="00711860"/>
    <w:rsid w:val="00714D1B"/>
    <w:rsid w:val="00717029"/>
    <w:rsid w:val="00720312"/>
    <w:rsid w:val="0072202C"/>
    <w:rsid w:val="0072288E"/>
    <w:rsid w:val="00727121"/>
    <w:rsid w:val="00730BF8"/>
    <w:rsid w:val="007313AE"/>
    <w:rsid w:val="0073667E"/>
    <w:rsid w:val="00740012"/>
    <w:rsid w:val="00741F34"/>
    <w:rsid w:val="00745B3A"/>
    <w:rsid w:val="0074780F"/>
    <w:rsid w:val="007502BB"/>
    <w:rsid w:val="007520B7"/>
    <w:rsid w:val="00752D2E"/>
    <w:rsid w:val="007539EE"/>
    <w:rsid w:val="00756CFF"/>
    <w:rsid w:val="00762F4A"/>
    <w:rsid w:val="007633CA"/>
    <w:rsid w:val="007663F0"/>
    <w:rsid w:val="00773DEB"/>
    <w:rsid w:val="00774DB3"/>
    <w:rsid w:val="00777511"/>
    <w:rsid w:val="00782BD3"/>
    <w:rsid w:val="00783A2D"/>
    <w:rsid w:val="0078701B"/>
    <w:rsid w:val="0079003D"/>
    <w:rsid w:val="00790F54"/>
    <w:rsid w:val="0079349C"/>
    <w:rsid w:val="007957D3"/>
    <w:rsid w:val="007A41FE"/>
    <w:rsid w:val="007A4FF1"/>
    <w:rsid w:val="007A5C4C"/>
    <w:rsid w:val="007A6008"/>
    <w:rsid w:val="007A66E8"/>
    <w:rsid w:val="007A67A8"/>
    <w:rsid w:val="007A6D6E"/>
    <w:rsid w:val="007B3FDF"/>
    <w:rsid w:val="007C00B5"/>
    <w:rsid w:val="007C271F"/>
    <w:rsid w:val="007D4695"/>
    <w:rsid w:val="007D5F69"/>
    <w:rsid w:val="007D7D2D"/>
    <w:rsid w:val="007E22BB"/>
    <w:rsid w:val="007E24A8"/>
    <w:rsid w:val="007E6BBB"/>
    <w:rsid w:val="007F261A"/>
    <w:rsid w:val="007F4389"/>
    <w:rsid w:val="0080135F"/>
    <w:rsid w:val="00802F9D"/>
    <w:rsid w:val="00805841"/>
    <w:rsid w:val="008067E9"/>
    <w:rsid w:val="008138C2"/>
    <w:rsid w:val="008207FC"/>
    <w:rsid w:val="00824A1A"/>
    <w:rsid w:val="0082723D"/>
    <w:rsid w:val="00830FB1"/>
    <w:rsid w:val="008318D4"/>
    <w:rsid w:val="00835C56"/>
    <w:rsid w:val="00835F60"/>
    <w:rsid w:val="0083628C"/>
    <w:rsid w:val="00840509"/>
    <w:rsid w:val="00840E2A"/>
    <w:rsid w:val="00841B85"/>
    <w:rsid w:val="0084484A"/>
    <w:rsid w:val="00845EAD"/>
    <w:rsid w:val="008466A5"/>
    <w:rsid w:val="008509BD"/>
    <w:rsid w:val="008518FE"/>
    <w:rsid w:val="008631C4"/>
    <w:rsid w:val="00863246"/>
    <w:rsid w:val="008647E2"/>
    <w:rsid w:val="00865A3B"/>
    <w:rsid w:val="00867C1C"/>
    <w:rsid w:val="0087458E"/>
    <w:rsid w:val="00874F4C"/>
    <w:rsid w:val="00877005"/>
    <w:rsid w:val="0088112D"/>
    <w:rsid w:val="008816D8"/>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0656"/>
    <w:rsid w:val="00902772"/>
    <w:rsid w:val="00903665"/>
    <w:rsid w:val="0090419E"/>
    <w:rsid w:val="00904C28"/>
    <w:rsid w:val="009053AC"/>
    <w:rsid w:val="00910979"/>
    <w:rsid w:val="00913FA1"/>
    <w:rsid w:val="00916263"/>
    <w:rsid w:val="00916B1E"/>
    <w:rsid w:val="00916CF7"/>
    <w:rsid w:val="00916F72"/>
    <w:rsid w:val="009200D9"/>
    <w:rsid w:val="00924290"/>
    <w:rsid w:val="0093136C"/>
    <w:rsid w:val="00932C76"/>
    <w:rsid w:val="00932DEA"/>
    <w:rsid w:val="009361E0"/>
    <w:rsid w:val="00940851"/>
    <w:rsid w:val="00950E79"/>
    <w:rsid w:val="00953DC8"/>
    <w:rsid w:val="009541DC"/>
    <w:rsid w:val="00954DED"/>
    <w:rsid w:val="00957FBC"/>
    <w:rsid w:val="0096288A"/>
    <w:rsid w:val="0096360D"/>
    <w:rsid w:val="00963665"/>
    <w:rsid w:val="009647CE"/>
    <w:rsid w:val="00964DCE"/>
    <w:rsid w:val="009661C0"/>
    <w:rsid w:val="009713B5"/>
    <w:rsid w:val="009762AB"/>
    <w:rsid w:val="0097695A"/>
    <w:rsid w:val="00982515"/>
    <w:rsid w:val="00985C6F"/>
    <w:rsid w:val="00987DA5"/>
    <w:rsid w:val="00996119"/>
    <w:rsid w:val="009A10CD"/>
    <w:rsid w:val="009A7588"/>
    <w:rsid w:val="009B1BE6"/>
    <w:rsid w:val="009B2215"/>
    <w:rsid w:val="009B3F2A"/>
    <w:rsid w:val="009B493D"/>
    <w:rsid w:val="009B6017"/>
    <w:rsid w:val="009B77A4"/>
    <w:rsid w:val="009B7B34"/>
    <w:rsid w:val="009C02EB"/>
    <w:rsid w:val="009C263C"/>
    <w:rsid w:val="009C760C"/>
    <w:rsid w:val="009D22C9"/>
    <w:rsid w:val="009D59B1"/>
    <w:rsid w:val="009D6E38"/>
    <w:rsid w:val="009D7F30"/>
    <w:rsid w:val="009E7949"/>
    <w:rsid w:val="009F1173"/>
    <w:rsid w:val="009F2CE7"/>
    <w:rsid w:val="009F6300"/>
    <w:rsid w:val="00A02D2A"/>
    <w:rsid w:val="00A03DAA"/>
    <w:rsid w:val="00A053A7"/>
    <w:rsid w:val="00A07072"/>
    <w:rsid w:val="00A1398C"/>
    <w:rsid w:val="00A16209"/>
    <w:rsid w:val="00A179D8"/>
    <w:rsid w:val="00A17F78"/>
    <w:rsid w:val="00A217B1"/>
    <w:rsid w:val="00A226D6"/>
    <w:rsid w:val="00A326C7"/>
    <w:rsid w:val="00A34E4F"/>
    <w:rsid w:val="00A36005"/>
    <w:rsid w:val="00A36F6E"/>
    <w:rsid w:val="00A40FDD"/>
    <w:rsid w:val="00A43B1A"/>
    <w:rsid w:val="00A476E2"/>
    <w:rsid w:val="00A52E27"/>
    <w:rsid w:val="00A66B88"/>
    <w:rsid w:val="00A7059A"/>
    <w:rsid w:val="00A73CCB"/>
    <w:rsid w:val="00A754BF"/>
    <w:rsid w:val="00A80900"/>
    <w:rsid w:val="00A9256F"/>
    <w:rsid w:val="00A94073"/>
    <w:rsid w:val="00A95724"/>
    <w:rsid w:val="00A97609"/>
    <w:rsid w:val="00AA0964"/>
    <w:rsid w:val="00AA0D73"/>
    <w:rsid w:val="00AB0553"/>
    <w:rsid w:val="00AB7F1E"/>
    <w:rsid w:val="00AC0253"/>
    <w:rsid w:val="00AC760B"/>
    <w:rsid w:val="00AD0E90"/>
    <w:rsid w:val="00AD267E"/>
    <w:rsid w:val="00AD5950"/>
    <w:rsid w:val="00AE7B09"/>
    <w:rsid w:val="00AF4B02"/>
    <w:rsid w:val="00AF5C38"/>
    <w:rsid w:val="00AF6371"/>
    <w:rsid w:val="00B01D6A"/>
    <w:rsid w:val="00B0308C"/>
    <w:rsid w:val="00B10E20"/>
    <w:rsid w:val="00B13755"/>
    <w:rsid w:val="00B14EDA"/>
    <w:rsid w:val="00B15B26"/>
    <w:rsid w:val="00B15EA7"/>
    <w:rsid w:val="00B218BF"/>
    <w:rsid w:val="00B273A3"/>
    <w:rsid w:val="00B27FD9"/>
    <w:rsid w:val="00B30A58"/>
    <w:rsid w:val="00B33E1B"/>
    <w:rsid w:val="00B343B8"/>
    <w:rsid w:val="00B347A3"/>
    <w:rsid w:val="00B35FBA"/>
    <w:rsid w:val="00B35FD4"/>
    <w:rsid w:val="00B40022"/>
    <w:rsid w:val="00B40969"/>
    <w:rsid w:val="00B4789A"/>
    <w:rsid w:val="00B51B53"/>
    <w:rsid w:val="00B527C6"/>
    <w:rsid w:val="00B63983"/>
    <w:rsid w:val="00B66459"/>
    <w:rsid w:val="00B7027A"/>
    <w:rsid w:val="00B719FD"/>
    <w:rsid w:val="00B71B7E"/>
    <w:rsid w:val="00B7384C"/>
    <w:rsid w:val="00B73D60"/>
    <w:rsid w:val="00B7675B"/>
    <w:rsid w:val="00B80918"/>
    <w:rsid w:val="00B81709"/>
    <w:rsid w:val="00B82529"/>
    <w:rsid w:val="00B82FD4"/>
    <w:rsid w:val="00B91227"/>
    <w:rsid w:val="00B9280A"/>
    <w:rsid w:val="00B94D4D"/>
    <w:rsid w:val="00B9576A"/>
    <w:rsid w:val="00B959E0"/>
    <w:rsid w:val="00B9605D"/>
    <w:rsid w:val="00B96F7F"/>
    <w:rsid w:val="00BA2FE9"/>
    <w:rsid w:val="00BB2C8E"/>
    <w:rsid w:val="00BB3836"/>
    <w:rsid w:val="00BC6F6D"/>
    <w:rsid w:val="00BC79AA"/>
    <w:rsid w:val="00BC7BE2"/>
    <w:rsid w:val="00BD01DA"/>
    <w:rsid w:val="00BD1DC0"/>
    <w:rsid w:val="00BE1D4B"/>
    <w:rsid w:val="00BE2BF0"/>
    <w:rsid w:val="00BE491C"/>
    <w:rsid w:val="00BE4F1C"/>
    <w:rsid w:val="00BE6F0A"/>
    <w:rsid w:val="00BE7278"/>
    <w:rsid w:val="00BF0CCC"/>
    <w:rsid w:val="00BF2E9E"/>
    <w:rsid w:val="00BF5021"/>
    <w:rsid w:val="00BF625D"/>
    <w:rsid w:val="00BF6960"/>
    <w:rsid w:val="00C00573"/>
    <w:rsid w:val="00C01D6D"/>
    <w:rsid w:val="00C0394B"/>
    <w:rsid w:val="00C101D8"/>
    <w:rsid w:val="00C15724"/>
    <w:rsid w:val="00C16678"/>
    <w:rsid w:val="00C21599"/>
    <w:rsid w:val="00C244B2"/>
    <w:rsid w:val="00C30868"/>
    <w:rsid w:val="00C32521"/>
    <w:rsid w:val="00C41372"/>
    <w:rsid w:val="00C41F00"/>
    <w:rsid w:val="00C41FD7"/>
    <w:rsid w:val="00C4406A"/>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A5"/>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271"/>
    <w:rsid w:val="00D06468"/>
    <w:rsid w:val="00D1017D"/>
    <w:rsid w:val="00D11282"/>
    <w:rsid w:val="00D11D55"/>
    <w:rsid w:val="00D14569"/>
    <w:rsid w:val="00D15AFB"/>
    <w:rsid w:val="00D15B0F"/>
    <w:rsid w:val="00D25096"/>
    <w:rsid w:val="00D2614B"/>
    <w:rsid w:val="00D3035E"/>
    <w:rsid w:val="00D30B4B"/>
    <w:rsid w:val="00D31FD3"/>
    <w:rsid w:val="00D3496C"/>
    <w:rsid w:val="00D35F7B"/>
    <w:rsid w:val="00D3643E"/>
    <w:rsid w:val="00D40841"/>
    <w:rsid w:val="00D411DB"/>
    <w:rsid w:val="00D452EA"/>
    <w:rsid w:val="00D54504"/>
    <w:rsid w:val="00D57ABE"/>
    <w:rsid w:val="00D60D0A"/>
    <w:rsid w:val="00D63034"/>
    <w:rsid w:val="00D664DF"/>
    <w:rsid w:val="00D679E8"/>
    <w:rsid w:val="00D72C48"/>
    <w:rsid w:val="00D7572D"/>
    <w:rsid w:val="00D76EC7"/>
    <w:rsid w:val="00D806F7"/>
    <w:rsid w:val="00D90E8B"/>
    <w:rsid w:val="00D964B6"/>
    <w:rsid w:val="00DA06CF"/>
    <w:rsid w:val="00DA2107"/>
    <w:rsid w:val="00DA482F"/>
    <w:rsid w:val="00DA4F8D"/>
    <w:rsid w:val="00DA567B"/>
    <w:rsid w:val="00DA700A"/>
    <w:rsid w:val="00DB10DE"/>
    <w:rsid w:val="00DC0BCD"/>
    <w:rsid w:val="00DC63EA"/>
    <w:rsid w:val="00DC7755"/>
    <w:rsid w:val="00DD0776"/>
    <w:rsid w:val="00DD2D10"/>
    <w:rsid w:val="00DD493A"/>
    <w:rsid w:val="00DE0BA7"/>
    <w:rsid w:val="00DF1B60"/>
    <w:rsid w:val="00DF64FE"/>
    <w:rsid w:val="00DF70DD"/>
    <w:rsid w:val="00E05CBD"/>
    <w:rsid w:val="00E133C1"/>
    <w:rsid w:val="00E13A22"/>
    <w:rsid w:val="00E16C03"/>
    <w:rsid w:val="00E22023"/>
    <w:rsid w:val="00E24F6C"/>
    <w:rsid w:val="00E25FBD"/>
    <w:rsid w:val="00E27C54"/>
    <w:rsid w:val="00E33DFC"/>
    <w:rsid w:val="00E36DC0"/>
    <w:rsid w:val="00E40C11"/>
    <w:rsid w:val="00E504F9"/>
    <w:rsid w:val="00E5307C"/>
    <w:rsid w:val="00E5314E"/>
    <w:rsid w:val="00E538A2"/>
    <w:rsid w:val="00E65FF2"/>
    <w:rsid w:val="00E67113"/>
    <w:rsid w:val="00E67390"/>
    <w:rsid w:val="00E732A5"/>
    <w:rsid w:val="00E757CD"/>
    <w:rsid w:val="00E76293"/>
    <w:rsid w:val="00E773EF"/>
    <w:rsid w:val="00E841D0"/>
    <w:rsid w:val="00E84CB6"/>
    <w:rsid w:val="00E8759A"/>
    <w:rsid w:val="00E915A7"/>
    <w:rsid w:val="00E9363B"/>
    <w:rsid w:val="00E966EE"/>
    <w:rsid w:val="00EA0D8E"/>
    <w:rsid w:val="00EA4ECB"/>
    <w:rsid w:val="00EA78F0"/>
    <w:rsid w:val="00EB0365"/>
    <w:rsid w:val="00EB1D83"/>
    <w:rsid w:val="00EB210F"/>
    <w:rsid w:val="00EB213D"/>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701"/>
    <w:rsid w:val="00F34D29"/>
    <w:rsid w:val="00F35C2C"/>
    <w:rsid w:val="00F36C13"/>
    <w:rsid w:val="00F43944"/>
    <w:rsid w:val="00F44F0C"/>
    <w:rsid w:val="00F45974"/>
    <w:rsid w:val="00F45EFD"/>
    <w:rsid w:val="00F51B8A"/>
    <w:rsid w:val="00F52438"/>
    <w:rsid w:val="00F53A4B"/>
    <w:rsid w:val="00F64D16"/>
    <w:rsid w:val="00F65B50"/>
    <w:rsid w:val="00F66D00"/>
    <w:rsid w:val="00F67B3D"/>
    <w:rsid w:val="00F733D2"/>
    <w:rsid w:val="00F87CF1"/>
    <w:rsid w:val="00F906DF"/>
    <w:rsid w:val="00F926DD"/>
    <w:rsid w:val="00F934DE"/>
    <w:rsid w:val="00F941F7"/>
    <w:rsid w:val="00F95832"/>
    <w:rsid w:val="00F9693E"/>
    <w:rsid w:val="00F973AF"/>
    <w:rsid w:val="00F9745A"/>
    <w:rsid w:val="00FA5CE9"/>
    <w:rsid w:val="00FA6695"/>
    <w:rsid w:val="00FA794C"/>
    <w:rsid w:val="00FB1A6C"/>
    <w:rsid w:val="00FB1C77"/>
    <w:rsid w:val="00FB3F6A"/>
    <w:rsid w:val="00FD2905"/>
    <w:rsid w:val="00FE1CEA"/>
    <w:rsid w:val="00FE3C8E"/>
    <w:rsid w:val="00FE3E86"/>
    <w:rsid w:val="00FE4490"/>
    <w:rsid w:val="00FE51F2"/>
    <w:rsid w:val="00FE52AD"/>
    <w:rsid w:val="00FE5547"/>
    <w:rsid w:val="00FF15E9"/>
    <w:rsid w:val="00FF6973"/>
    <w:rsid w:val="16962069"/>
    <w:rsid w:val="187C31FA"/>
    <w:rsid w:val="1B7772E4"/>
    <w:rsid w:val="273C3484"/>
    <w:rsid w:val="287B5FBF"/>
    <w:rsid w:val="2A0F0CCD"/>
    <w:rsid w:val="2DAF44B7"/>
    <w:rsid w:val="2DF56CD9"/>
    <w:rsid w:val="3F6778EF"/>
    <w:rsid w:val="3F83095F"/>
    <w:rsid w:val="46A87316"/>
    <w:rsid w:val="4746708A"/>
    <w:rsid w:val="4B3F260D"/>
    <w:rsid w:val="4F67671B"/>
    <w:rsid w:val="51DD2CBB"/>
    <w:rsid w:val="541F3E53"/>
    <w:rsid w:val="59CF39D5"/>
    <w:rsid w:val="5E927177"/>
    <w:rsid w:val="63FA7DBC"/>
    <w:rsid w:val="6ACC0B2B"/>
    <w:rsid w:val="78A05E31"/>
    <w:rsid w:val="790D5A39"/>
    <w:rsid w:val="7EC351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字符"/>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字符"/>
    <w:link w:val="12"/>
    <w:qFormat/>
    <w:uiPriority w:val="0"/>
    <w:rPr>
      <w:rFonts w:ascii="Cambria" w:hAnsi="Cambria" w:eastAsia="宋体" w:cs="Times New Roman"/>
      <w:b/>
      <w:kern w:val="28"/>
      <w:sz w:val="24"/>
      <w:szCs w:val="32"/>
    </w:rPr>
  </w:style>
  <w:style w:type="character" w:customStyle="1" w:styleId="26">
    <w:name w:val="标题 1 字符"/>
    <w:link w:val="2"/>
    <w:qFormat/>
    <w:uiPriority w:val="9"/>
    <w:rPr>
      <w:b/>
      <w:bCs/>
      <w:kern w:val="44"/>
      <w:sz w:val="44"/>
      <w:szCs w:val="44"/>
    </w:rPr>
  </w:style>
  <w:style w:type="character" w:customStyle="1" w:styleId="27">
    <w:name w:val="标题 2 字符"/>
    <w:link w:val="3"/>
    <w:qFormat/>
    <w:uiPriority w:val="9"/>
    <w:rPr>
      <w:rFonts w:ascii="Cambria" w:hAnsi="Cambria" w:eastAsia="宋体" w:cs="Times New Roman"/>
      <w:b/>
      <w:bCs/>
      <w:sz w:val="32"/>
      <w:szCs w:val="32"/>
    </w:rPr>
  </w:style>
  <w:style w:type="character" w:customStyle="1" w:styleId="28">
    <w:name w:val="标题 字符"/>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字符"/>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字符"/>
    <w:link w:val="13"/>
    <w:qFormat/>
    <w:uiPriority w:val="0"/>
    <w:rPr>
      <w:kern w:val="2"/>
      <w:sz w:val="18"/>
      <w:szCs w:val="18"/>
    </w:rPr>
  </w:style>
  <w:style w:type="character" w:customStyle="1" w:styleId="48">
    <w:name w:val="日期 字符"/>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MsoNormal"/>
    <w:basedOn w:val="1"/>
    <w:qFormat/>
    <w:uiPriority w:val="0"/>
    <w:pPr>
      <w:widowControl/>
      <w:jc w:val="left"/>
    </w:pPr>
    <w:rPr>
      <w:kern w:val="0"/>
      <w:sz w:val="24"/>
      <w:szCs w:val="24"/>
    </w:rPr>
  </w:style>
  <w:style w:type="paragraph" w:customStyle="1" w:styleId="52">
    <w:name w:val="p"/>
    <w:basedOn w:val="1"/>
    <w:qFormat/>
    <w:uiPriority w:val="0"/>
    <w:pPr>
      <w:widowControl/>
      <w:jc w:val="left"/>
    </w:pPr>
    <w:rPr>
      <w:kern w:val="0"/>
      <w:sz w:val="24"/>
      <w:szCs w:val="24"/>
    </w:rPr>
  </w:style>
  <w:style w:type="character" w:customStyle="1" w:styleId="53">
    <w:name w:val="font11"/>
    <w:basedOn w:val="19"/>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6A3438-05E5-4974-986F-B8135B59055B}">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7</Pages>
  <Words>393</Words>
  <Characters>2242</Characters>
  <Lines>18</Lines>
  <Paragraphs>5</Paragraphs>
  <TotalTime>5</TotalTime>
  <ScaleCrop>false</ScaleCrop>
  <LinksUpToDate>false</LinksUpToDate>
  <CharactersWithSpaces>2630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2020-01-07T12:08:00Z</dcterms:created>
  <dc:creator>yss</dc:creator>
  <cp:lastModifiedBy>董鲁豫</cp:lastModifiedBy>
  <cp:lastPrinted>2411-12-31T15:59:00Z</cp:lastPrinted>
  <dcterms:modified xsi:type="dcterms:W3CDTF">2026-07-14T08:28:42Z</dcterms:modified>
  <dc:title>gongGaoMingCheng</dc:title>
  <cp:revision>192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5051352593A9498BAB35C86981E42DFE</vt:lpwstr>
  </property>
</Properties>
</file>