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30,416,548.02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1.01388493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30,399,208.92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99.34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29,043,130.41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1,356,078.51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201,061.51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30,600,270.43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21九江银行永续债02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29,043,130.41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95.48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1,356,078.51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中国工商银行股份有限公司山东省分行资产托管专户-齐鲁财富传家204号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1602023929200354185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F1442BE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2025-10-22T03:19:00Z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