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财复盈35天2号 </w:t>
      </w:r>
    </w:p>
    <w:p>
      <w:pPr>
        <w:jc w:val="center"/>
        <w:rPr>
          <w:rFonts w:ascii="宋体" w:hAnsi="宋体"/>
          <w:b/>
          <w:bCs/>
          <w:sz w:val="48"/>
          <w:szCs w:val="30"/>
        </w:rPr>
      </w:pPr>
      <w:r>
        <w:rPr>
          <w:rFonts w:ascii="宋体" w:hAnsi="宋体"/>
          <w:b/>
          <w:bCs/>
          <w:sz w:val="48"/>
          <w:szCs w:val="30"/>
        </w:rPr>
        <w:t>2025年第3季度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2025-07-01</w:t>
      </w:r>
      <w:r>
        <w:rPr>
          <w:rFonts w:ascii="宋体" w:hAnsi="宋体" w:cs="宋体"/>
          <w:color w:val="000000"/>
          <w:sz w:val="24"/>
          <w:szCs w:val="24"/>
        </w:rPr>
        <w:t xml:space="preserve"> </w:t>
      </w:r>
      <w:r>
        <w:rPr>
          <w:rFonts w:hint="eastAsia" w:ascii="宋体" w:hAnsi="宋体" w:cs="宋体"/>
          <w:color w:val="000000"/>
          <w:sz w:val="24"/>
          <w:szCs w:val="24"/>
        </w:rPr>
        <w:t>起至 2025-09-30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财复盈35天2号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C1088122000039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2022-07-13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333,008,010.46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2.1/年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100.14</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22352C</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2025-07-01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2025-09-30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363,720,972.20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22352A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241,925,350.35</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121,795,621.85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1.09222889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22352A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1.09131617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1.09404638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1.09222889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22352A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1.09131617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1.09404638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0.53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22352A（%）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22352B（%）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0.55</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2025年三季度，债券市场在中美贸易摩擦阶段性缓和、反内卷政策、股债跷跷板、基金费率改革等利空影响下，债券收益率持续上行。7月，“反内卷”相关政策出台，通胀和企业盈利预期升温，权益市场大幅走强，债券市场相对承压，收益率上行。8月，权益市场持续强势，压制债市情绪，叠加基金持续赎回负反馈，债券收益率持续上行。9月，在权益强势、基金持续赎回的背景下，证监会发布基金费率改革的征求意见稿，增加赎回费的相关规定，进一步增加了债市的脆弱性，债券市场收益率进一步上行。总体来看，三季度多重利空因素叠加，债券市场走出了一波阶段性熊市行情。</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开放式产品组合底仓以中高等级信用债为主，严控信用风险。三季度，组合保持中性久期水平，灵活调整组合期限结构和品种结构，力求在控制风险的基础上为客户提供更高的投资收益。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6,790,512.00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1.86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13,701.45</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324,044,308.23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88.97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32,335,159.83</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324,044,308.23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88.97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32,335,159.83</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3,479,082.36</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0.96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828,268.68</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29,883,060.95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8.20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26,818.89</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364,223,782.43</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33,177,129.96</w:t>
            </w:r>
          </w:p>
        </w:tc>
        <w:tc>
          <w:tcPr>
            <w:tcW w:w="1705" w:type="dxa"/>
          </w:tcPr>
          <w:p>
            <w:pPr>
              <w:jc w:val="right"/>
              <w:rPr>
                <w:rFonts w:ascii="宋体" w:hAnsi="宋体" w:cs="宋体"/>
                <w:color w:val="000000"/>
                <w:sz w:val="24"/>
                <w:szCs w:val="24"/>
              </w:rPr>
            </w:pPr>
            <w:r>
              <w:rPr>
                <w:rFonts w:ascii="宋体" w:hAnsi="宋体" w:cs="宋体"/>
                <w:color w:val="000000"/>
                <w:sz w:val="24"/>
                <w:szCs w:val="24"/>
              </w:rPr>
              <w:t>9.11</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创金合信恒利75号集合资产管理计划</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29,883,060.95</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8.22</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24产投01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20,436,887.67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23进出03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20,362,157.81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23新国02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15,404,586.99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25西公01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15,231,287.67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25临发01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15,214,767.12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25烟金01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15,123,583.56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25龙债01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15,066,121.23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25章控03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14,985,016.44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23中城01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10,840,100.00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2.98</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291,446,921.42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22352A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193,584,517.60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22352B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97,862,403.82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102,300,993.09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-60,739,904.05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333,008,010.46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22352A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221,682,180.72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22352B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111,325,829.74</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齐鲁银行股份有限公司财复盈35天2号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531902382310415</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财复盈35天2号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2025-10-15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E383ED6"/>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2025-10-23T01:53:37Z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