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2022-11-01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756,226,959.74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104.87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828,235,195.16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316,285,435.61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511,949,759.55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1.0952204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1.09326486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1.09643204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1.0952204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1.09326486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1.09643204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0.35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开放式产品组合底仓以中高等级信用债为主，严控信用风险。三季度，组合保持中性久期水平，灵活调整组合期限结构和品种结构，力求在控制风险的基础上为客户提供更高的投资收益。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25,446.87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777,301,531.01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89.49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93,365,802.00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759,774,298.74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87.47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93,365,802.00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17,527,232.27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5,165,570.06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0.59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1,560,130.51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86,105,895.10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9.91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37,456.48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176.09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868,610,452.65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94,951,555.47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10.93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55,499,991.93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6.70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25进出06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50,075,969.18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25农业银行CD124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49,562,712.60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25工行永续债01BC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39,644,245.48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21富交02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32,035,495.89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30,605,903.17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24嵊州01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30,431,515.07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25淄博城运MTN002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30,262,446.99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24开元02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30,237,916.44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23济工01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29,952,382.19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3.62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465,566,360.44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182,618,220.02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282,948,140.42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756,226,959.74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-465,566,360.44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756,226,959.74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289,303,576.12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466,923,383.62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376010100101534711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5146D03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2025-10-23T01:57:24Z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