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齐鲁银行安稳泉家2024年19号B款理财产品到期兑付公告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19号B款理财产品于2025年05月08日到期兑付。本理财计划按照产品合同规定条款进行投资运作，理财期限310天，实现年化收益率3.20%，每万元费后净收益271.78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2025年05月08日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