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齐鲁银行安稳泉家2024年23号B款理财产品到期兑付公告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23号B款理财产品于2025年05月15日到期兑付。本理财计划按照产品合同规定条款进行投资运作，理财期限303天，实现年化收益率3.10%，每万元费后净收益257.34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