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齐鲁银行鸿运财富2024年14号B款理财产品到期兑付公告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14号B款理财产品于2025年06月04日到期兑付。本理财计划按照产品合同规定条款进行投资运作，理财期限400天，实现年化收益率3.25%，每万元费后净收益356.16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