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齐鲁银行安稳泉家2023年14号A款理财产品到期兑付公告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14号A款理财产品于2025年07月01日到期兑付。本理财计划按照产品合同规定条款进行投资运作，理财期限733天，实现年化收益率4.00%，每万元费后净收益803.29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