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泉心盈196天7号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C1088122000059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2022-11-15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844,152,380.95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415,704.00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923,010,563.95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19607A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298,106,842.77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624,903,721.18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1.093417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19607A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1.09148459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1.09434125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1.093417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19607A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1.09148459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1.09434125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19607A（%）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1.24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开放式产品组合底仓以中高等级信用债为主，严控信用风险，辅助中长期利率债波段交易，在平衡风险和收益的基础上，通过波段交易，增厚组合收益。上半年，组合保持中性久期水平，灵活调整组合期限结构和品种结构，力求在控制风险的基础上为客户提供更高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762,424,033.59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82.51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170,758,571.58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742,286,887.02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80.33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169,206,673.45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20,137,146.57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1,551,898.13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1,522,227.09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263,232.51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987,543.15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161,329,249.01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17.46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1,000.08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632.42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924,017,515.19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173,268,974.25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18.75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96,893,854.22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10.50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64,435,394.79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24农发31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50,566,766.44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22陕投集团MTN005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35,978,127.74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24浪潮集团PPN001(科创票据)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35,478,636.99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23周发01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31,569,548.63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23烟金02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30,784,767.12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21土地01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30,652,002.74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24中飞租赁MTN001A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30,545,882.47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19鲁信创业MTN001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27,706,055.18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3.00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662,001,277.84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19607A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315,590,256.82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19607B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346,411,021.02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844,707,100.28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-662,555,997.17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844,152,380.95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19607A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273,120,522.24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19607B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571,031,858.71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齐鲁银行股份有限公司泉心盈196天7号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376010100101534839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ACD5B21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2025-08-06T06:09:05Z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