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鸿运财富2025年6号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2025-02-18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鸿运财富2025年6号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C1088125000010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2025-02-18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459,238,000.00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111.78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2025-02-18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464,099,339.62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25006A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14,001,914.40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183,276,454.25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127,766,892.94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25006F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28,145,325.52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36,804,854.96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25006L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50,539,287.78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23,564,609.77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1.01058566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1.01038493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1.01056712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1.01049424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1.01074931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1.01056713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1.01078575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1.01074932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1.01058566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1.01038493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1.01056712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1.01049424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1.01074931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1.01056713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1.01078575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1.01074932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25006A（%）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25006F（%）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25006L（%）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1.07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437,724,353.34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84.38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79,704,203.47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408,424,395.97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78.73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79,704,203.47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29,299,957.37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5.65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 30,911,695.41 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5.96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12,737.57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其中：银行存款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139,762.68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12,737.57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结构性存款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  <w:t>30,771,932.73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5.93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50,134,435.37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9.66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1,944.60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1,550,783.72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518,772,428.72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81,267,724.76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15.67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50,134,435.37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10.80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23成都农商行永续债01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43,631,705.21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23济南能源MTN002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41,096,925.82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24南京旅游MTN001(资产担保)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40,902,025.75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24泰山G2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38,270,755.23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21诸暨新城PPN001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36,282,572.88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20潍坊银行永续债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33,314,364.05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24龙口城乡PPN002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30,846,531.78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2025031301渣打银行结构性存款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30,771,932.73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25江宁科学MTN002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30,445,040.96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6.56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459,238,000.00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13,858,000.00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181,360,000.00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126,440,000.00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27,846,000.00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36,420,000.00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23,314,000.00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459,238,000.00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459,238,000.00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13,858,000.00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181,360,000.00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126,440,000.00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27,846,000.00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36,420,000.00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23,314,000.00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中国工商银行山东省分行资产托管专户-齐鲁鸿运财富2025年6号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1602023929200345855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34E2E28"/>
    <w:rsid w:val="17A70C77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2025-08-06T06:21:49Z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