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C1088123000088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2024-01-03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110,600,000.00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116,800,607.08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31,657,397.30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42,692,285.12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42,450,924.66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1.05606335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1.05524657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1.05673973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1.05599315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1.05606335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1.05524657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1.05673973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1.05599315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1.79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69,869,858.71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67,341,598.30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2,528,260.41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543,424.67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121,150,642.93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63.40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43.44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10,410,738.77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10,378,342.60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24海创YK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10,273,053.29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23海发国资MTN003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10,232,217.26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20河北银行永续债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7,266,995.82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6,391,456.44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23军民融合PPN001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6,266,928.49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23淄金01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3,106,058.75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科租11A2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2,528,260.41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2.16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齐鲁银行股份有限公司安稳泉家2023年28号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1602023929200298179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2816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2025-08-06T06:13:24Z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