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泉心盈105天7号 </w:t>
      </w:r>
    </w:p>
    <w:p>
      <w:pPr>
        <w:jc w:val="center"/>
        <w:rPr>
          <w:rFonts w:ascii="宋体" w:hAnsi="宋体"/>
          <w:b/>
          <w:bCs/>
          <w:sz w:val="48"/>
          <w:szCs w:val="30"/>
        </w:rPr>
      </w:pPr>
      <w:r>
        <w:rPr>
          <w:rFonts w:ascii="宋体" w:hAnsi="宋体"/>
          <w:b/>
          <w:bCs/>
          <w:sz w:val="48"/>
          <w:szCs w:val="30"/>
        </w:rPr>
        <w:t>2025年第2季度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2025-04-01</w:t>
      </w:r>
      <w:r>
        <w:rPr>
          <w:rFonts w:ascii="宋体" w:hAnsi="宋体" w:cs="宋体"/>
          <w:color w:val="000000"/>
          <w:sz w:val="24"/>
          <w:szCs w:val="24"/>
        </w:rPr>
        <w:t xml:space="preserve"> </w:t>
      </w:r>
      <w:r>
        <w:rPr>
          <w:rFonts w:hint="eastAsia" w:ascii="宋体" w:hAnsi="宋体" w:cs="宋体"/>
          <w:color w:val="000000"/>
          <w:sz w:val="24"/>
          <w:szCs w:val="24"/>
        </w:rPr>
        <w:t>起至 2025-06-30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泉心盈105天7号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C1088122000080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2022-11-17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282,299,672.40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10507B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2.3/年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10507A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107.63</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10507B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10507A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257,150.00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2025-04-01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2025-06-30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306,839,046.74</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10507A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129,921,222.68</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10507B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176,917,824.06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1.08692668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10507A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1.08529446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10507B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1.08812844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1.08692668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10507A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1.08529446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10507B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1.08812844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0.76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10507A（%）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0.75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10507B（%）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0.77</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二季度，债券市场整体震荡下行。宏观经济方面，外部受到中美贸易摩擦影响，出口面临一定压力；内部有效需求不足的矛盾依然突出，地产投资仍然是主要拖累。价格层面，通胀数据依然偏弱，且短期内难以逆转。货币政策层面，央行呵护态度明确，流动性宽松。基本面和货币政策均对债市形成利好，收益率震荡走低。4月受美国对等关税影响，债券收益率大幅下行；5月降准、降息、结构性降息集中落地，货币环境利好债券，收益率持续震荡走低；6月央行流动性投放积极，流动性宽松延续，债市收益率延续震荡下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辅助中长期利率债波段交易，在平衡风险和收益的基础上，通过波段交易，增厚组合收益。二季度，组合保持中性久期水平，灵活调整组合期限结构和品种结构，力求在控制风险的基础上为客户提供更高的投资收益。</w:t>
      </w:r>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325,352,354.42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98.52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295,322,743.57</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89.43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30,029,610.85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9.09</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4,883,727.23</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1.48</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1,032.52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330,237,114.17</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0.00</w:t>
            </w:r>
          </w:p>
        </w:tc>
        <w:tc>
          <w:tcPr>
            <w:tcW w:w="1705" w:type="dxa"/>
          </w:tcPr>
          <w:p>
            <w:pPr>
              <w:jc w:val="right"/>
              <w:rPr>
                <w:rFonts w:ascii="宋体" w:hAnsi="宋体" w:cs="宋体"/>
                <w:color w:val="000000"/>
                <w:sz w:val="24"/>
                <w:szCs w:val="24"/>
              </w:rPr>
            </w:pPr>
            <w:r>
              <w:rPr>
                <w:rFonts w:ascii="宋体" w:hAnsi="宋体" w:cs="宋体"/>
                <w:color w:val="000000"/>
                <w:sz w:val="24"/>
                <w:szCs w:val="24"/>
              </w:rPr>
              <w:t>0.00</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24农发21</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30,407,657.26</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9.91</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23汴投03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25,602,595.89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8.34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23中化岩土MTN002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20,762,527.95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23溧开04</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20,650,010.96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23临开Y1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20,565,926.03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24铁发03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20,401,483.84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23渝合01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20,329,298.63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25农发01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20,079,565.48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铁建076A</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20,008,590.30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25临沂城发PPN002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20,000,577.26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6.52</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598,822,407.02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10507A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239,835,560.34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10507B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358,986,846.68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282,299,672.40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-598,822,407.02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282,299,672.40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10507A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119,710,573.60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10507B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162,589,098.80</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齐鲁银行股份有限公司泉心盈105天7号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531902382310830</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招商银行济南分行营业部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泉心盈105天7号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2025-07-15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39471DA"/>
    <w:rsid w:val="3F6778EF"/>
    <w:rsid w:val="46A87316"/>
    <w:rsid w:val="4746708A"/>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2025-07-09T01:24:11Z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