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2022-09-20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628,404,406.12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24,834.00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687,505,845.51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324,463,041.43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363,042,804.08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1.09405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1.09243236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1.0954998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1.09405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1.09243236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1.0954998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，辅助中长期利率债波段交易，在平衡风险和收益的基础上，通过波段交易，增厚组合收益。二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609,976,189.99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103,162,619.11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594,954,614.65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86.49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103,162,619.11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15,021,575.34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3,303,735.52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504,552.28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74,601,555.73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1,641.84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1,240,702.23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687,883,123.08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104,907,873.62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15.25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15国开18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51,732,246.58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7.52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23烟金02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51,307,945.21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23岳建03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42,367,539.18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40,107,548.30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34,494,007.43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22汴投01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30,984,379.31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23国惠01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30,476,754.25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24临空港投PPN001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25,550,768.49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21厦门国际银行永续债01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21,114,699.73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23齐财01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21,086,301.37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3.07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541,142,774.68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262,272,258.91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278,870,515.77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628,404,406.12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-541,142,774.68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628,404,406.12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297,009,728.96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331,394,677.16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376010100101534072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6DC4C9F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2025-07-09T01:25:27Z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